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5E" w:rsidRPr="00E96E7C" w:rsidRDefault="006A335E" w:rsidP="006A335E">
      <w:pPr>
        <w:spacing w:after="60" w:line="360" w:lineRule="auto"/>
        <w:ind w:firstLine="709"/>
        <w:jc w:val="center"/>
        <w:rPr>
          <w:rFonts w:ascii="Times New Roman" w:hAnsi="Times New Roman" w:cs="Times New Roman"/>
          <w:bCs/>
          <w:sz w:val="36"/>
          <w:szCs w:val="24"/>
        </w:rPr>
      </w:pPr>
      <w:bookmarkStart w:id="0" w:name="_GoBack"/>
      <w:bookmarkEnd w:id="0"/>
      <w:r w:rsidRPr="00E96E7C">
        <w:rPr>
          <w:rFonts w:ascii="Times New Roman" w:hAnsi="Times New Roman" w:cs="Times New Roman"/>
          <w:bCs/>
          <w:sz w:val="36"/>
          <w:szCs w:val="24"/>
        </w:rPr>
        <w:t xml:space="preserve">Эмаль </w:t>
      </w:r>
      <w:r>
        <w:rPr>
          <w:rFonts w:ascii="Times New Roman" w:hAnsi="Times New Roman" w:cs="Times New Roman"/>
          <w:bCs/>
          <w:sz w:val="36"/>
          <w:szCs w:val="24"/>
        </w:rPr>
        <w:t>акриловая</w:t>
      </w:r>
      <w:r w:rsidRPr="00E96E7C">
        <w:rPr>
          <w:rFonts w:ascii="Times New Roman" w:hAnsi="Times New Roman" w:cs="Times New Roman"/>
          <w:bCs/>
          <w:sz w:val="36"/>
          <w:szCs w:val="24"/>
        </w:rPr>
        <w:t xml:space="preserve"> для пола</w:t>
      </w:r>
      <w:r>
        <w:rPr>
          <w:rFonts w:ascii="Times New Roman" w:hAnsi="Times New Roman" w:cs="Times New Roman"/>
          <w:bCs/>
          <w:sz w:val="36"/>
          <w:szCs w:val="24"/>
        </w:rPr>
        <w:t xml:space="preserve"> и лестниц</w:t>
      </w:r>
    </w:p>
    <w:p w:rsidR="006A335E" w:rsidRDefault="006A335E" w:rsidP="006A33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038C" w:rsidRPr="006A335E" w:rsidRDefault="006A335E" w:rsidP="0074038C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Назначение: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4038C" w:rsidRPr="006A335E">
        <w:rPr>
          <w:rFonts w:ascii="Times New Roman" w:hAnsi="Times New Roman" w:cs="Times New Roman"/>
          <w:sz w:val="28"/>
          <w:szCs w:val="24"/>
        </w:rPr>
        <w:t>Для внутренних и наружных работ по дереву, паркету, ламинату, бетону, металлу, МДФ, ДСП, ДВП.  Предназначена для окрашивания горизонтальных и вертикальных поверхностей, бетонных и деревянных полов, подвергающихся умеренному механическому воздействию, дверей, мебели и террас, защищенных от прямого воздействия солнечных лучей и осадков (под навесом). Возможно нанесение на металл.</w:t>
      </w:r>
    </w:p>
    <w:p w:rsidR="0074038C" w:rsidRPr="006A335E" w:rsidRDefault="006A335E" w:rsidP="0074038C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С</w:t>
      </w:r>
      <w:r w:rsidR="0074038C" w:rsidRPr="006A335E">
        <w:rPr>
          <w:rFonts w:ascii="Times New Roman" w:hAnsi="Times New Roman" w:cs="Times New Roman"/>
          <w:b/>
          <w:sz w:val="28"/>
          <w:szCs w:val="24"/>
        </w:rPr>
        <w:t>войства:</w:t>
      </w:r>
      <w:r w:rsidR="0074038C" w:rsidRPr="006A335E">
        <w:rPr>
          <w:rFonts w:ascii="Times New Roman" w:hAnsi="Times New Roman" w:cs="Times New Roman"/>
          <w:sz w:val="28"/>
          <w:szCs w:val="24"/>
        </w:rPr>
        <w:t xml:space="preserve"> образует износостойкое гладкое полуглянцевое покрытие. Легко наносится и не оставляет подтёков. Обладает высокой укрывистостью. Быстросохнущая, что помогает сократить время на проведении работ. Состав на водной основе делает краску экологичной и безопасной для здоровья и окружающей среды.  Не выделяет неприятных запахов во время нанесения и высыхания, что делает её идеальной для использования в закрытых помещениях. Покрытие сохраняет свой внешний вид и защитные </w:t>
      </w:r>
      <w:r>
        <w:rPr>
          <w:rFonts w:ascii="Times New Roman" w:hAnsi="Times New Roman" w:cs="Times New Roman"/>
          <w:sz w:val="28"/>
          <w:szCs w:val="24"/>
        </w:rPr>
        <w:t xml:space="preserve">свойства при </w:t>
      </w:r>
      <w:r w:rsidR="0074038C" w:rsidRPr="006A335E">
        <w:rPr>
          <w:rFonts w:ascii="Times New Roman" w:hAnsi="Times New Roman" w:cs="Times New Roman"/>
          <w:sz w:val="28"/>
          <w:szCs w:val="24"/>
        </w:rPr>
        <w:t>интенсивном использовании. Поверхность после окрашивания устойчива к чистке моющим средством.</w:t>
      </w:r>
    </w:p>
    <w:p w:rsidR="00873E5E" w:rsidRPr="006A335E" w:rsidRDefault="00873E5E" w:rsidP="00873E5E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Подготовка поверхности:</w:t>
      </w:r>
      <w:r w:rsidRPr="006A335E">
        <w:rPr>
          <w:rFonts w:ascii="Times New Roman" w:hAnsi="Times New Roman" w:cs="Times New Roman"/>
          <w:sz w:val="28"/>
          <w:szCs w:val="24"/>
        </w:rPr>
        <w:t xml:space="preserve"> </w:t>
      </w:r>
      <w:r w:rsidR="0069317E" w:rsidRPr="006A335E">
        <w:rPr>
          <w:rFonts w:ascii="Times New Roman" w:hAnsi="Times New Roman" w:cs="Times New Roman"/>
          <w:sz w:val="28"/>
          <w:szCs w:val="24"/>
        </w:rPr>
        <w:t>окрашиваемая поверхность должна</w:t>
      </w:r>
      <w:r w:rsidRPr="006A335E">
        <w:rPr>
          <w:rFonts w:ascii="Times New Roman" w:hAnsi="Times New Roman" w:cs="Times New Roman"/>
          <w:sz w:val="28"/>
          <w:szCs w:val="24"/>
        </w:rPr>
        <w:t xml:space="preserve"> быть чист</w:t>
      </w:r>
      <w:r w:rsidR="0069317E" w:rsidRPr="006A335E">
        <w:rPr>
          <w:rFonts w:ascii="Times New Roman" w:hAnsi="Times New Roman" w:cs="Times New Roman"/>
          <w:sz w:val="28"/>
          <w:szCs w:val="24"/>
        </w:rPr>
        <w:t>ой</w:t>
      </w:r>
      <w:r w:rsidRPr="006A335E">
        <w:rPr>
          <w:rFonts w:ascii="Times New Roman" w:hAnsi="Times New Roman" w:cs="Times New Roman"/>
          <w:sz w:val="28"/>
          <w:szCs w:val="24"/>
        </w:rPr>
        <w:t>, сух</w:t>
      </w:r>
      <w:r w:rsidR="0069317E" w:rsidRPr="006A335E">
        <w:rPr>
          <w:rFonts w:ascii="Times New Roman" w:hAnsi="Times New Roman" w:cs="Times New Roman"/>
          <w:sz w:val="28"/>
          <w:szCs w:val="24"/>
        </w:rPr>
        <w:t xml:space="preserve">ой </w:t>
      </w:r>
      <w:r w:rsidRPr="006A335E">
        <w:rPr>
          <w:rFonts w:ascii="Times New Roman" w:hAnsi="Times New Roman" w:cs="Times New Roman"/>
          <w:sz w:val="28"/>
          <w:szCs w:val="24"/>
        </w:rPr>
        <w:t>(древесин</w:t>
      </w:r>
      <w:r w:rsidR="0069317E" w:rsidRPr="006A335E">
        <w:rPr>
          <w:rFonts w:ascii="Times New Roman" w:hAnsi="Times New Roman" w:cs="Times New Roman"/>
          <w:sz w:val="28"/>
          <w:szCs w:val="24"/>
        </w:rPr>
        <w:t>а до 15%, бетон до 4%) и очищена</w:t>
      </w:r>
      <w:r w:rsidRPr="006A335E">
        <w:rPr>
          <w:rFonts w:ascii="Times New Roman" w:hAnsi="Times New Roman" w:cs="Times New Roman"/>
          <w:sz w:val="28"/>
          <w:szCs w:val="24"/>
        </w:rPr>
        <w:t xml:space="preserve"> от старого отслоившегося покрытия, если есть трещины и прочие неровности, поверхность следует зашпаклевать и отшлифовать. Твердые глянцевые поверхности отшлифовать до матового состояния. Удалить пыль и загрунтовать. В качестве грунтовочного слоя можно использовать саму эмаль, разбавленную на 10-20% водой (10-20 грамм воды на 100 грамм эмали). Металлические поверхности для лучшего сцепления и усиленной защиты от распространения ржавчины обезжирить и загрунтовать ГФ-021.</w:t>
      </w:r>
    </w:p>
    <w:p w:rsidR="0069317E" w:rsidRPr="006A335E" w:rsidRDefault="00873E5E" w:rsidP="00873E5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Нанесение:</w:t>
      </w:r>
      <w:r w:rsidRPr="006A335E">
        <w:rPr>
          <w:rFonts w:ascii="Times New Roman" w:hAnsi="Times New Roman" w:cs="Times New Roman"/>
          <w:sz w:val="28"/>
          <w:szCs w:val="24"/>
        </w:rPr>
        <w:t xml:space="preserve"> </w:t>
      </w:r>
      <w:r w:rsidR="0069317E" w:rsidRPr="006A335E">
        <w:rPr>
          <w:rFonts w:ascii="Times New Roman" w:hAnsi="Times New Roman" w:cs="Times New Roman"/>
          <w:sz w:val="28"/>
          <w:szCs w:val="24"/>
        </w:rPr>
        <w:t>п</w:t>
      </w:r>
      <w:r w:rsidRPr="006A335E">
        <w:rPr>
          <w:rFonts w:ascii="Times New Roman" w:hAnsi="Times New Roman" w:cs="Times New Roman"/>
          <w:sz w:val="28"/>
          <w:szCs w:val="24"/>
        </w:rPr>
        <w:t>еред применением эмаль необходимо тщательно</w:t>
      </w:r>
      <w:r w:rsidR="0069317E" w:rsidRPr="006A335E">
        <w:rPr>
          <w:rFonts w:ascii="Times New Roman" w:hAnsi="Times New Roman" w:cs="Times New Roman"/>
          <w:sz w:val="28"/>
          <w:szCs w:val="24"/>
        </w:rPr>
        <w:t xml:space="preserve"> перемешать в течение 2-5 минут. Наносить </w:t>
      </w:r>
      <w:r w:rsidRPr="006A335E">
        <w:rPr>
          <w:rFonts w:ascii="Times New Roman" w:hAnsi="Times New Roman" w:cs="Times New Roman"/>
          <w:sz w:val="28"/>
          <w:szCs w:val="24"/>
        </w:rPr>
        <w:t>краскораспылите</w:t>
      </w:r>
      <w:r w:rsidR="0069317E" w:rsidRPr="006A335E">
        <w:rPr>
          <w:rFonts w:ascii="Times New Roman" w:hAnsi="Times New Roman" w:cs="Times New Roman"/>
          <w:sz w:val="28"/>
          <w:szCs w:val="24"/>
        </w:rPr>
        <w:t>ле</w:t>
      </w:r>
      <w:r w:rsidRPr="006A335E">
        <w:rPr>
          <w:rFonts w:ascii="Times New Roman" w:hAnsi="Times New Roman" w:cs="Times New Roman"/>
          <w:sz w:val="28"/>
          <w:szCs w:val="24"/>
        </w:rPr>
        <w:t xml:space="preserve">м, кистью или валиком </w:t>
      </w:r>
      <w:r w:rsidRPr="006A335E">
        <w:rPr>
          <w:rFonts w:ascii="Times New Roman" w:hAnsi="Times New Roman" w:cs="Times New Roman"/>
          <w:sz w:val="28"/>
          <w:szCs w:val="24"/>
        </w:rPr>
        <w:lastRenderedPageBreak/>
        <w:t>минимум в 2 слоя</w:t>
      </w:r>
      <w:r w:rsidR="0069317E" w:rsidRPr="006A335E">
        <w:rPr>
          <w:rFonts w:ascii="Times New Roman" w:hAnsi="Times New Roman" w:cs="Times New Roman"/>
          <w:sz w:val="28"/>
          <w:szCs w:val="24"/>
        </w:rPr>
        <w:t xml:space="preserve"> (с межслойной сушкой 2-3 часа)</w:t>
      </w:r>
      <w:r w:rsidRPr="006A335E">
        <w:rPr>
          <w:rFonts w:ascii="Times New Roman" w:hAnsi="Times New Roman" w:cs="Times New Roman"/>
          <w:sz w:val="28"/>
          <w:szCs w:val="24"/>
        </w:rPr>
        <w:t xml:space="preserve">. При окрашивании больших площадей использовать эмаль одной партии либо смешать эмаль из разных партий в одной емкости. </w:t>
      </w:r>
      <w:r w:rsidR="0069317E" w:rsidRPr="006A335E">
        <w:rPr>
          <w:rFonts w:ascii="Times New Roman" w:hAnsi="Times New Roman" w:cs="Times New Roman"/>
          <w:sz w:val="28"/>
          <w:szCs w:val="24"/>
        </w:rPr>
        <w:t>Применять при температуре воздуха и поверхности не ниже +10°C, влажности воздуха не более 70%.</w:t>
      </w:r>
      <w:r w:rsidRPr="006A335E">
        <w:rPr>
          <w:rFonts w:ascii="Times New Roman" w:hAnsi="Times New Roman" w:cs="Times New Roman"/>
          <w:sz w:val="28"/>
          <w:szCs w:val="24"/>
        </w:rPr>
        <w:t xml:space="preserve"> </w:t>
      </w:r>
      <w:r w:rsidR="00433D27" w:rsidRPr="006A335E">
        <w:rPr>
          <w:rFonts w:ascii="Times New Roman" w:hAnsi="Times New Roman" w:cs="Times New Roman"/>
          <w:sz w:val="28"/>
          <w:szCs w:val="24"/>
        </w:rPr>
        <w:t>Сразу после использования</w:t>
      </w:r>
      <w:r w:rsidR="00512A34" w:rsidRPr="006A335E">
        <w:rPr>
          <w:rFonts w:ascii="Times New Roman" w:hAnsi="Times New Roman" w:cs="Times New Roman"/>
          <w:sz w:val="28"/>
          <w:szCs w:val="24"/>
        </w:rPr>
        <w:t xml:space="preserve"> инструмент промыть водой.</w:t>
      </w:r>
    </w:p>
    <w:p w:rsidR="0069317E" w:rsidRPr="006A335E" w:rsidRDefault="0069317E" w:rsidP="0069317E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Разбавление водой:</w:t>
      </w:r>
    </w:p>
    <w:p w:rsidR="0069317E" w:rsidRPr="006A335E" w:rsidRDefault="0069317E" w:rsidP="0069317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sz w:val="28"/>
          <w:szCs w:val="24"/>
        </w:rPr>
        <w:t>·</w:t>
      </w:r>
      <w:r w:rsidRPr="006A335E">
        <w:rPr>
          <w:rFonts w:ascii="Times New Roman" w:hAnsi="Times New Roman" w:cs="Times New Roman"/>
          <w:sz w:val="28"/>
          <w:szCs w:val="24"/>
        </w:rPr>
        <w:tab/>
        <w:t>для грунтования — до 10–20% (до 10-20 грамм воды на 100 грамм эмали)</w:t>
      </w:r>
    </w:p>
    <w:p w:rsidR="0069317E" w:rsidRPr="006A335E" w:rsidRDefault="0069317E" w:rsidP="0069317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sz w:val="28"/>
          <w:szCs w:val="24"/>
        </w:rPr>
        <w:t>·</w:t>
      </w:r>
      <w:r w:rsidRPr="006A335E">
        <w:rPr>
          <w:rFonts w:ascii="Times New Roman" w:hAnsi="Times New Roman" w:cs="Times New Roman"/>
          <w:sz w:val="28"/>
          <w:szCs w:val="24"/>
        </w:rPr>
        <w:tab/>
        <w:t>для финишного покрытия — до 5% (до 5 грамм воды на 100 грамм эмали)</w:t>
      </w:r>
    </w:p>
    <w:p w:rsidR="00873E5E" w:rsidRPr="006A335E" w:rsidRDefault="0069317E" w:rsidP="0069317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Колеровка:</w:t>
      </w:r>
      <w:r w:rsidRPr="006A335E">
        <w:rPr>
          <w:rFonts w:ascii="Times New Roman" w:hAnsi="Times New Roman" w:cs="Times New Roman"/>
          <w:sz w:val="28"/>
          <w:szCs w:val="24"/>
        </w:rPr>
        <w:t xml:space="preserve"> белая эмаль колеруется в пастельные, не яркие оттенки с помощью универсальных колеровочных паст. До 4% от массы эмали (до 4 грамм колоранта на 100 грамм эмали).</w:t>
      </w:r>
    </w:p>
    <w:p w:rsidR="00433D27" w:rsidRPr="006A335E" w:rsidRDefault="00433D27" w:rsidP="00CF188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Время высыхания:</w:t>
      </w:r>
      <w:r w:rsidRPr="006A335E">
        <w:rPr>
          <w:rFonts w:ascii="Times New Roman" w:hAnsi="Times New Roman" w:cs="Times New Roman"/>
          <w:sz w:val="28"/>
          <w:szCs w:val="24"/>
        </w:rPr>
        <w:t xml:space="preserve"> одного слоя «на отлип» при температуре +20±2°С и относительной влажности воздуха не более 70% - 1 час. Межслойная сушка – 2-3 часа. Через 24 часа покрытие готово к эксплуатации (можно ходить, но не размещать на покрытии тяжелые или большой площади предметы, препятствующие высыханию). </w:t>
      </w:r>
      <w:r w:rsidR="00CF1880" w:rsidRPr="006A335E">
        <w:rPr>
          <w:rFonts w:ascii="Times New Roman" w:hAnsi="Times New Roman" w:cs="Times New Roman"/>
          <w:sz w:val="28"/>
          <w:szCs w:val="24"/>
        </w:rPr>
        <w:t>Покрытие беречь от воздействия влаги до полного набора прочности. Полный набор прочностных характеристик покрытия (влажная уборка, установка мебели, ковров и т.п.) достигается через 14 дней.</w:t>
      </w:r>
    </w:p>
    <w:p w:rsidR="00433D27" w:rsidRPr="006A335E" w:rsidRDefault="00433D27" w:rsidP="00433D2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Расход:</w:t>
      </w:r>
      <w:r w:rsidRPr="006A335E">
        <w:rPr>
          <w:rFonts w:ascii="Times New Roman" w:hAnsi="Times New Roman" w:cs="Times New Roman"/>
          <w:sz w:val="28"/>
          <w:szCs w:val="24"/>
        </w:rPr>
        <w:t xml:space="preserve"> примерный расход при однослойном покрытии составляет 60-80 г/м</w:t>
      </w:r>
      <w:r w:rsidRPr="006A335E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6A335E">
        <w:rPr>
          <w:rFonts w:ascii="Times New Roman" w:hAnsi="Times New Roman" w:cs="Times New Roman"/>
          <w:sz w:val="28"/>
          <w:szCs w:val="24"/>
        </w:rPr>
        <w:t xml:space="preserve">.  </w:t>
      </w:r>
      <w:r w:rsidRPr="006A335E">
        <w:rPr>
          <w:rFonts w:ascii="Times New Roman" w:hAnsi="Times New Roman" w:cs="Times New Roman"/>
          <w:b/>
          <w:sz w:val="28"/>
          <w:szCs w:val="24"/>
        </w:rPr>
        <w:t xml:space="preserve">В зависимости от цвета, толщины и способа нанесения, а также свойств поверхности и используемого инструмента расход может </w:t>
      </w:r>
      <w:r w:rsidR="008B3F7C" w:rsidRPr="006A335E">
        <w:rPr>
          <w:rFonts w:ascii="Times New Roman" w:hAnsi="Times New Roman" w:cs="Times New Roman"/>
          <w:b/>
          <w:sz w:val="28"/>
          <w:szCs w:val="24"/>
        </w:rPr>
        <w:t>увеличиться.</w:t>
      </w:r>
    </w:p>
    <w:p w:rsidR="00512A34" w:rsidRPr="006A335E" w:rsidRDefault="00512A34" w:rsidP="00512A34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Состав:</w:t>
      </w:r>
      <w:r w:rsidRPr="006A335E">
        <w:rPr>
          <w:rFonts w:ascii="Times New Roman" w:hAnsi="Times New Roman" w:cs="Times New Roman"/>
          <w:sz w:val="28"/>
          <w:szCs w:val="24"/>
        </w:rPr>
        <w:t xml:space="preserve"> дисперсия стирол-акриловая, диоксид титана, антикоррозионные добавки, наполнители, реологические добавки, вода. </w:t>
      </w:r>
    </w:p>
    <w:p w:rsidR="00512A34" w:rsidRPr="006A335E" w:rsidRDefault="00512A34" w:rsidP="00512A34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lastRenderedPageBreak/>
        <w:t>Срок годности:</w:t>
      </w:r>
      <w:r w:rsidRPr="006A335E">
        <w:rPr>
          <w:rFonts w:ascii="Times New Roman" w:hAnsi="Times New Roman" w:cs="Times New Roman"/>
          <w:sz w:val="28"/>
          <w:szCs w:val="24"/>
        </w:rPr>
        <w:t xml:space="preserve"> 24 месяца со дня изготовления.</w:t>
      </w:r>
    </w:p>
    <w:p w:rsidR="00611D73" w:rsidRPr="006A335E" w:rsidRDefault="00611D73" w:rsidP="00611D73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Хранение, транспортировка и утилизация:</w:t>
      </w:r>
      <w:r w:rsidRPr="006A335E">
        <w:rPr>
          <w:rFonts w:ascii="Times New Roman" w:hAnsi="Times New Roman" w:cs="Times New Roman"/>
          <w:sz w:val="28"/>
          <w:szCs w:val="24"/>
        </w:rPr>
        <w:t xml:space="preserve"> эмаль хранить в плотно закрытой таре при температуре выше 0°С. Допускается транспортирование и хранение краски при температуре до -30°С не более одного месяца.</w:t>
      </w:r>
      <w:r w:rsidR="00210C92" w:rsidRPr="006A335E">
        <w:rPr>
          <w:rFonts w:ascii="Times New Roman" w:hAnsi="Times New Roman" w:cs="Times New Roman"/>
          <w:sz w:val="28"/>
          <w:szCs w:val="24"/>
        </w:rPr>
        <w:t xml:space="preserve"> Эмаль выдерживает до 5 циклов </w:t>
      </w:r>
      <w:r w:rsidRPr="006A335E">
        <w:rPr>
          <w:rFonts w:ascii="Times New Roman" w:hAnsi="Times New Roman" w:cs="Times New Roman"/>
          <w:sz w:val="28"/>
          <w:szCs w:val="24"/>
        </w:rPr>
        <w:t xml:space="preserve">замораживания/оттаивания без потери качества. После использования эмали тару с остатками продукта </w:t>
      </w:r>
      <w:r w:rsidR="00A47862" w:rsidRPr="006A335E">
        <w:rPr>
          <w:rFonts w:ascii="Times New Roman" w:hAnsi="Times New Roman" w:cs="Times New Roman"/>
          <w:sz w:val="28"/>
          <w:szCs w:val="24"/>
        </w:rPr>
        <w:t>плотно</w:t>
      </w:r>
      <w:r w:rsidRPr="006A335E">
        <w:rPr>
          <w:rFonts w:ascii="Times New Roman" w:hAnsi="Times New Roman" w:cs="Times New Roman"/>
          <w:sz w:val="28"/>
          <w:szCs w:val="24"/>
        </w:rPr>
        <w:t xml:space="preserve"> закрыть и отправить на бытовую свалку.</w:t>
      </w:r>
    </w:p>
    <w:p w:rsidR="00321E38" w:rsidRPr="006A335E" w:rsidRDefault="00210C92" w:rsidP="00D11F91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A335E">
        <w:rPr>
          <w:rFonts w:ascii="Times New Roman" w:hAnsi="Times New Roman" w:cs="Times New Roman"/>
          <w:b/>
          <w:sz w:val="28"/>
          <w:szCs w:val="24"/>
        </w:rPr>
        <w:t>Рекомендации:</w:t>
      </w:r>
      <w:r w:rsidRPr="006A335E">
        <w:rPr>
          <w:rFonts w:ascii="Times New Roman" w:hAnsi="Times New Roman" w:cs="Times New Roman"/>
          <w:sz w:val="28"/>
          <w:szCs w:val="24"/>
        </w:rPr>
        <w:t xml:space="preserve"> для получения качественного покрытия наносить минимум в 2 слоя. При окрашивании больших площадей использовать продукт одной партии или разных партий одного цвета, предварительно смешав эмаль в одной емкости.</w:t>
      </w:r>
    </w:p>
    <w:sectPr w:rsidR="00321E38" w:rsidRPr="006A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83" w:rsidRDefault="00B95B83">
      <w:pPr>
        <w:spacing w:after="0" w:line="240" w:lineRule="auto"/>
      </w:pPr>
      <w:r>
        <w:separator/>
      </w:r>
    </w:p>
  </w:endnote>
  <w:endnote w:type="continuationSeparator" w:id="0">
    <w:p w:rsidR="00B95B83" w:rsidRDefault="00B9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83" w:rsidRDefault="00B95B83">
      <w:pPr>
        <w:spacing w:after="0" w:line="240" w:lineRule="auto"/>
      </w:pPr>
      <w:r>
        <w:separator/>
      </w:r>
    </w:p>
  </w:footnote>
  <w:footnote w:type="continuationSeparator" w:id="0">
    <w:p w:rsidR="00B95B83" w:rsidRDefault="00B9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6E33"/>
    <w:multiLevelType w:val="hybridMultilevel"/>
    <w:tmpl w:val="BDFAAFDC"/>
    <w:lvl w:ilvl="0" w:tplc="2F6803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30CD6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3C91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CAED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9C79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EE36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F445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3CED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68F5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6E72B66"/>
    <w:multiLevelType w:val="hybridMultilevel"/>
    <w:tmpl w:val="434E84BA"/>
    <w:lvl w:ilvl="0" w:tplc="714ABF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1" w:tplc="EC6807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2" w:tplc="A3BAC7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3" w:tplc="4964E0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4" w:tplc="DCFEBA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5" w:tplc="BB180A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6" w:tplc="DA3E23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7" w:tplc="26D4EC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FFFFFF"/>
        <w:spacing w:val="3"/>
        <w:sz w:val="24"/>
      </w:rPr>
    </w:lvl>
    <w:lvl w:ilvl="8" w:tplc="92D21C9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FFFFFF"/>
        <w:spacing w:val="3"/>
        <w:sz w:val="24"/>
      </w:rPr>
    </w:lvl>
  </w:abstractNum>
  <w:abstractNum w:abstractNumId="2" w15:restartNumberingAfterBreak="0">
    <w:nsid w:val="621D4D7A"/>
    <w:multiLevelType w:val="hybridMultilevel"/>
    <w:tmpl w:val="2708CDBA"/>
    <w:lvl w:ilvl="0" w:tplc="E040BD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D4A8E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FA1B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AC82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64B0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E0E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621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94C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5C4A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38"/>
    <w:rsid w:val="0010274F"/>
    <w:rsid w:val="00210C92"/>
    <w:rsid w:val="002E03A9"/>
    <w:rsid w:val="00321E38"/>
    <w:rsid w:val="003B366A"/>
    <w:rsid w:val="003E7C66"/>
    <w:rsid w:val="00433D27"/>
    <w:rsid w:val="0050556C"/>
    <w:rsid w:val="00512A34"/>
    <w:rsid w:val="005D2608"/>
    <w:rsid w:val="005D522D"/>
    <w:rsid w:val="005E7EE5"/>
    <w:rsid w:val="00611D73"/>
    <w:rsid w:val="0069317E"/>
    <w:rsid w:val="006A335E"/>
    <w:rsid w:val="006D4DED"/>
    <w:rsid w:val="0074038C"/>
    <w:rsid w:val="00873E5E"/>
    <w:rsid w:val="008874F4"/>
    <w:rsid w:val="008B3F7C"/>
    <w:rsid w:val="008C637B"/>
    <w:rsid w:val="009335AD"/>
    <w:rsid w:val="009424B6"/>
    <w:rsid w:val="00A47862"/>
    <w:rsid w:val="00A81272"/>
    <w:rsid w:val="00A95867"/>
    <w:rsid w:val="00B81FFB"/>
    <w:rsid w:val="00B95B83"/>
    <w:rsid w:val="00CA7235"/>
    <w:rsid w:val="00CF1880"/>
    <w:rsid w:val="00D11F91"/>
    <w:rsid w:val="00DC6C24"/>
    <w:rsid w:val="00DE2478"/>
    <w:rsid w:val="00EA44E8"/>
    <w:rsid w:val="00EC7FBF"/>
    <w:rsid w:val="00F20962"/>
    <w:rsid w:val="00F5630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6227-0935-4C4E-B6CE-1A1C65A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Мысова</dc:creator>
  <cp:keywords/>
  <dc:description/>
  <cp:lastModifiedBy>User</cp:lastModifiedBy>
  <cp:revision>2</cp:revision>
  <dcterms:created xsi:type="dcterms:W3CDTF">2026-06-30T12:17:00Z</dcterms:created>
  <dcterms:modified xsi:type="dcterms:W3CDTF">2026-06-30T12:17:00Z</dcterms:modified>
</cp:coreProperties>
</file>