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4C" w:rsidRPr="00AE3430" w:rsidRDefault="00C3734C" w:rsidP="004A2F20">
      <w:pPr>
        <w:pStyle w:val="Default"/>
        <w:rPr>
          <w:b/>
          <w:sz w:val="14"/>
          <w:szCs w:val="14"/>
        </w:rPr>
      </w:pPr>
      <w:r w:rsidRPr="00AE3430">
        <w:rPr>
          <w:b/>
          <w:noProof/>
          <w:sz w:val="14"/>
          <w:szCs w:val="14"/>
          <w:lang w:eastAsia="ru-RU"/>
        </w:rPr>
        <w:drawing>
          <wp:inline distT="0" distB="0" distL="0" distR="0" wp14:anchorId="7D22A982" wp14:editId="35CDD3B1">
            <wp:extent cx="700554" cy="189161"/>
            <wp:effectExtent l="19050" t="0" r="429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37" cy="189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3430" w:rsidRPr="00AE3430">
        <w:rPr>
          <w:b/>
          <w:sz w:val="14"/>
          <w:szCs w:val="14"/>
        </w:rPr>
        <w:t xml:space="preserve">               </w:t>
      </w:r>
    </w:p>
    <w:p w:rsidR="00C3734C" w:rsidRPr="00AE3430" w:rsidRDefault="00C3734C" w:rsidP="004A2F20">
      <w:pPr>
        <w:pStyle w:val="Default"/>
        <w:jc w:val="center"/>
        <w:rPr>
          <w:b/>
          <w:sz w:val="14"/>
          <w:szCs w:val="14"/>
        </w:rPr>
      </w:pPr>
      <w:r w:rsidRPr="00AE3430">
        <w:rPr>
          <w:b/>
          <w:sz w:val="14"/>
          <w:szCs w:val="14"/>
        </w:rPr>
        <w:t>ПАСПОРТ</w:t>
      </w:r>
    </w:p>
    <w:p w:rsidR="00C3734C" w:rsidRPr="00AE3430" w:rsidRDefault="00C3734C" w:rsidP="004A2F20">
      <w:pPr>
        <w:pStyle w:val="Default"/>
        <w:jc w:val="center"/>
        <w:rPr>
          <w:b/>
          <w:sz w:val="14"/>
          <w:szCs w:val="14"/>
        </w:rPr>
      </w:pPr>
      <w:r w:rsidRPr="00AE3430">
        <w:rPr>
          <w:b/>
          <w:sz w:val="14"/>
          <w:szCs w:val="14"/>
        </w:rPr>
        <w:t>СВЕТИЛЬНИКИ – ОБЛУЧАТЕЛИ СЕРИИ ОБРН</w:t>
      </w:r>
    </w:p>
    <w:p w:rsidR="00C3734C" w:rsidRPr="00AE3430" w:rsidRDefault="00C3734C" w:rsidP="004A2F20">
      <w:pPr>
        <w:overflowPunct/>
        <w:spacing w:after="0" w:line="240" w:lineRule="auto"/>
        <w:rPr>
          <w:rFonts w:ascii="Times New Roman" w:eastAsiaTheme="minorHAnsi" w:hAnsi="Times New Roman"/>
          <w:b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b/>
          <w:color w:val="auto"/>
          <w:sz w:val="14"/>
          <w:szCs w:val="14"/>
        </w:rPr>
        <w:t>НАЗНАЧЕНИЕ</w:t>
      </w:r>
    </w:p>
    <w:p w:rsidR="00C3734C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Свети</w:t>
      </w:r>
      <w:r w:rsidR="00C3734C" w:rsidRPr="00AE3430">
        <w:rPr>
          <w:rFonts w:ascii="Times New Roman" w:eastAsiaTheme="minorHAnsi" w:hAnsi="Times New Roman"/>
          <w:color w:val="auto"/>
          <w:sz w:val="14"/>
          <w:szCs w:val="14"/>
        </w:rPr>
        <w:t>льники – облучатели серии ОБРН</w:t>
      </w: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 предназначены для обеззараживания воздуха в административных, общественных, производственных помещениях и других местах массового пребывания людей. </w:t>
      </w:r>
    </w:p>
    <w:p w:rsidR="00C3734C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Светильники-облучатели соответствуют требованиям технических регламентов Таможенного союза ТР ТС 004/2011 «О безопасности низковольтного оборудования», утв. Решением </w:t>
      </w:r>
      <w:bookmarkStart w:id="0" w:name="_GoBack"/>
      <w:bookmarkEnd w:id="0"/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Комиссии Таможенного союза от 16 августа 2011 года № 768; ТР ТС 020/2011 «Электромагнитная совместимость технических средств», утв. Решением Комиссии Таможенного союза от 9 декабря 2011 года № 879. </w:t>
      </w:r>
    </w:p>
    <w:p w:rsidR="00C3734C" w:rsidRPr="00AE3430" w:rsidRDefault="00C3734C" w:rsidP="004A2F20">
      <w:pPr>
        <w:overflowPunct/>
        <w:spacing w:after="0" w:line="240" w:lineRule="auto"/>
        <w:rPr>
          <w:rFonts w:ascii="Times New Roman" w:hAnsi="Times New Roman"/>
          <w:sz w:val="14"/>
          <w:szCs w:val="14"/>
        </w:rPr>
      </w:pPr>
    </w:p>
    <w:p w:rsidR="00C3734C" w:rsidRPr="00AE3430" w:rsidRDefault="00C3734C" w:rsidP="004A2F20">
      <w:pPr>
        <w:overflowPunct/>
        <w:spacing w:after="0" w:line="240" w:lineRule="auto"/>
        <w:rPr>
          <w:rFonts w:ascii="Times New Roman" w:eastAsiaTheme="minorHAnsi" w:hAnsi="Times New Roman"/>
          <w:b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b/>
          <w:color w:val="auto"/>
          <w:sz w:val="14"/>
          <w:szCs w:val="14"/>
        </w:rPr>
        <w:t>ТЕХНИЧЕСКИЕ ХАРАКТЕРИСТИКИ</w:t>
      </w:r>
    </w:p>
    <w:p w:rsidR="00C3734C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Светильники-облучатели рассчитаны для работы с бактерицидными лампами типа Т8 мощностью 15 Вт в сетях переменного тока с номинальным напряжением 220 В, частотой 50 Гц. </w:t>
      </w:r>
    </w:p>
    <w:p w:rsidR="00C3734C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Производительность по потоку – 50 м3 /час. </w:t>
      </w:r>
    </w:p>
    <w:p w:rsidR="00C3734C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Класс защиты от поражения электрическим током - I. </w:t>
      </w:r>
    </w:p>
    <w:p w:rsidR="00C3734C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Основные технические ха</w:t>
      </w:r>
      <w:r w:rsidR="00164B98" w:rsidRPr="00AE3430">
        <w:rPr>
          <w:rFonts w:ascii="Times New Roman" w:eastAsiaTheme="minorHAnsi" w:hAnsi="Times New Roman"/>
          <w:color w:val="auto"/>
          <w:sz w:val="14"/>
          <w:szCs w:val="14"/>
        </w:rPr>
        <w:t>рактеристики</w:t>
      </w: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 </w:t>
      </w:r>
    </w:p>
    <w:tbl>
      <w:tblPr>
        <w:tblW w:w="7420" w:type="dxa"/>
        <w:tblInd w:w="113" w:type="dxa"/>
        <w:tblLook w:val="04A0" w:firstRow="1" w:lastRow="0" w:firstColumn="1" w:lastColumn="0" w:noHBand="0" w:noVBand="1"/>
      </w:tblPr>
      <w:tblGrid>
        <w:gridCol w:w="1153"/>
        <w:gridCol w:w="927"/>
        <w:gridCol w:w="711"/>
        <w:gridCol w:w="753"/>
        <w:gridCol w:w="1208"/>
        <w:gridCol w:w="720"/>
        <w:gridCol w:w="1262"/>
        <w:gridCol w:w="686"/>
      </w:tblGrid>
      <w:tr w:rsidR="00AE3430" w:rsidRPr="00AE3430" w:rsidTr="00164B98">
        <w:trPr>
          <w:trHeight w:val="63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E343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Мощность, Вт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Тип</w:t>
            </w:r>
            <w:r w:rsidRPr="00164B9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ПРА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Степень</w:t>
            </w:r>
            <w:r w:rsidRPr="00164B9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защиты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Климатическое</w:t>
            </w:r>
            <w:r w:rsidRPr="00164B9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исполнение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Класс</w:t>
            </w:r>
            <w:r w:rsidRPr="00164B9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защиты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Размеры</w:t>
            </w:r>
            <w:r w:rsidRPr="00164B9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 xml:space="preserve">LхBхН/А, </w:t>
            </w:r>
            <w:r w:rsidRPr="00AE343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мм, не</w:t>
            </w:r>
            <w:r w:rsidRPr="00164B9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более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E343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Масса, кг</w:t>
            </w:r>
            <w:r w:rsidRPr="00164B9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, не</w:t>
            </w:r>
            <w:r w:rsidRPr="00164B9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более</w:t>
            </w:r>
          </w:p>
        </w:tc>
      </w:tr>
      <w:tr w:rsidR="00AE3430" w:rsidRPr="00AE3430" w:rsidTr="00164B98">
        <w:trPr>
          <w:trHeight w:val="42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ОБРН 1х15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1х15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ЭмПРА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IP20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УХЛ4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I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527х129х129</w:t>
            </w: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br/>
              <w:t xml:space="preserve">/327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1,8</w:t>
            </w:r>
          </w:p>
        </w:tc>
      </w:tr>
      <w:tr w:rsidR="00AE3430" w:rsidRPr="00AE3430" w:rsidTr="00164B98">
        <w:trPr>
          <w:trHeight w:val="42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ОБРН 2х15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2х15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ЭмПРА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IP20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УХЛ4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I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527х129х129</w:t>
            </w: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br/>
              <w:t xml:space="preserve">/327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98" w:rsidRPr="00164B98" w:rsidRDefault="00164B98" w:rsidP="00164B98">
            <w:pPr>
              <w:suppressAutoHyphens w:val="0"/>
              <w:overflowPunc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64B98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1,8</w:t>
            </w:r>
          </w:p>
        </w:tc>
      </w:tr>
    </w:tbl>
    <w:p w:rsidR="00164B98" w:rsidRPr="00AE3430" w:rsidRDefault="00164B98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</w:p>
    <w:p w:rsidR="00C3734C" w:rsidRPr="00AE3430" w:rsidRDefault="00C3734C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</w:p>
    <w:p w:rsidR="00C3734C" w:rsidRPr="00AE3430" w:rsidRDefault="00C3734C" w:rsidP="004A2F20">
      <w:pPr>
        <w:overflowPunct/>
        <w:spacing w:after="0" w:line="240" w:lineRule="auto"/>
        <w:rPr>
          <w:rFonts w:ascii="Times New Roman" w:eastAsiaTheme="minorHAnsi" w:hAnsi="Times New Roman"/>
          <w:b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b/>
          <w:color w:val="auto"/>
          <w:sz w:val="14"/>
          <w:szCs w:val="14"/>
        </w:rPr>
        <w:t>КОМПЛЕКТ ПОСТАВКИ</w:t>
      </w:r>
    </w:p>
    <w:p w:rsidR="00C3734C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Светильник-облучатель, шт. – 1 </w:t>
      </w:r>
    </w:p>
    <w:p w:rsidR="00AE343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Упаковка, шт. – 1 </w:t>
      </w:r>
    </w:p>
    <w:p w:rsidR="00C3734C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Паспорт, шт. – 1 </w:t>
      </w:r>
    </w:p>
    <w:p w:rsidR="00C3734C" w:rsidRPr="00AE3430" w:rsidRDefault="008D1C41" w:rsidP="00425AC7">
      <w:pPr>
        <w:overflowPunct/>
        <w:spacing w:after="0" w:line="240" w:lineRule="auto"/>
        <w:rPr>
          <w:rFonts w:ascii="Times New Roman" w:eastAsiaTheme="minorHAnsi" w:hAnsi="Times New Roman"/>
          <w:b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b/>
          <w:color w:val="auto"/>
          <w:sz w:val="14"/>
          <w:szCs w:val="14"/>
        </w:rPr>
        <w:t xml:space="preserve">Лампы и стартеры в комплект поставки не входят. </w:t>
      </w:r>
    </w:p>
    <w:p w:rsidR="00425AC7" w:rsidRPr="00AE3430" w:rsidRDefault="00425AC7" w:rsidP="00425AC7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</w:p>
    <w:p w:rsidR="004A2F20" w:rsidRPr="00AE3430" w:rsidRDefault="004A2F20" w:rsidP="004A2F20">
      <w:pPr>
        <w:overflowPunct/>
        <w:spacing w:after="0" w:line="240" w:lineRule="auto"/>
        <w:rPr>
          <w:rFonts w:ascii="Times New Roman" w:eastAsiaTheme="minorHAnsi" w:hAnsi="Times New Roman"/>
          <w:b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b/>
          <w:color w:val="auto"/>
          <w:sz w:val="14"/>
          <w:szCs w:val="14"/>
        </w:rPr>
        <w:t>УСТРОЙСТВО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Общий вид светильника-об</w:t>
      </w:r>
      <w:r w:rsidR="00AE3430" w:rsidRPr="00AE3430">
        <w:rPr>
          <w:rFonts w:ascii="Times New Roman" w:eastAsiaTheme="minorHAnsi" w:hAnsi="Times New Roman"/>
          <w:color w:val="auto"/>
          <w:sz w:val="14"/>
          <w:szCs w:val="14"/>
        </w:rPr>
        <w:t>лучателя</w:t>
      </w:r>
    </w:p>
    <w:p w:rsidR="00164B98" w:rsidRPr="00AE3430" w:rsidRDefault="00164B98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drawing>
          <wp:inline distT="0" distB="0" distL="0" distR="0" wp14:anchorId="1B5CFBAC" wp14:editId="13C81EAC">
            <wp:extent cx="2997200" cy="7290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8342" cy="75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Светильник-облучатель состоит из корпуса, основания, боковых крышек, вентилятора, образующие камеру облучения, в котором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 размещена электрическая схема.</w:t>
      </w:r>
    </w:p>
    <w:p w:rsidR="00AE343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Светильники-облучатели выпускаются с электромагнитными или электронными ПРА. 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Схемы включения бактерицид</w:t>
      </w:r>
      <w:r w:rsidR="00AE3430" w:rsidRPr="00AE3430">
        <w:rPr>
          <w:rFonts w:ascii="Times New Roman" w:eastAsiaTheme="minorHAnsi" w:hAnsi="Times New Roman"/>
          <w:color w:val="auto"/>
          <w:sz w:val="14"/>
          <w:szCs w:val="14"/>
        </w:rPr>
        <w:t>ных ламп с электромагнитным ПРА.</w:t>
      </w:r>
    </w:p>
    <w:p w:rsidR="00164B98" w:rsidRPr="00AE3430" w:rsidRDefault="00164B98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drawing>
          <wp:inline distT="0" distB="0" distL="0" distR="0" wp14:anchorId="0C357D24" wp14:editId="77AC6952">
            <wp:extent cx="1524000" cy="61993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0489" cy="63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Схема включения ламп с электронным ПРА приведена на корпусе электронного ПРА. 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Продув воздуха через внутренний объем облучателя обеспечивается вентилятором через вентиляционные отверстия, расположенные в корпусе. Предусмотрено экранирование лампы от попадания УФ излучения в глаза человека. </w:t>
      </w:r>
    </w:p>
    <w:p w:rsidR="004A2F20" w:rsidRPr="00AE3430" w:rsidRDefault="004A2F20" w:rsidP="004A2F20">
      <w:pPr>
        <w:overflowPunct/>
        <w:spacing w:after="0" w:line="240" w:lineRule="auto"/>
        <w:rPr>
          <w:rFonts w:ascii="Times New Roman" w:hAnsi="Times New Roman"/>
          <w:sz w:val="14"/>
          <w:szCs w:val="14"/>
        </w:rPr>
      </w:pPr>
    </w:p>
    <w:p w:rsidR="004A2F20" w:rsidRPr="00AE3430" w:rsidRDefault="004A2F20" w:rsidP="004A2F20">
      <w:pPr>
        <w:overflowPunct/>
        <w:spacing w:after="0" w:line="240" w:lineRule="auto"/>
        <w:rPr>
          <w:rFonts w:ascii="Times New Roman" w:eastAsiaTheme="minorHAnsi" w:hAnsi="Times New Roman"/>
          <w:b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b/>
          <w:color w:val="auto"/>
          <w:sz w:val="14"/>
          <w:szCs w:val="14"/>
        </w:rPr>
        <w:t>ТРЕБОВАНИЕ ПО ТЕХНИКЕ БЕЗОПАСТНОСТИ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Установку, подключение к сети, ремонт и обслуживание (замену ламп, чистку) производить толь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ко при отключенном питании. 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Не включать светильник-облучател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ь без надежного заземления. 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По окончании срока службы светильника-облучателя необходима его замена, так как старение изоляции проводов внутреннего монтажа существенно снижает 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электробезопасность изделий. 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При утилизации светильника-облучателя необходимо разделить детали по видам материалов и в установленном по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>рядке сдать на переработку.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Внимание! Газоразрядные лампы, используемые в светильниках, содержат ртуть! Вышедшие из строя лампы подлежат утилизации и обезврежива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нию в установленном порядке. 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Эксплуатация с неисправными стартерами не допускается. </w:t>
      </w:r>
    </w:p>
    <w:p w:rsidR="004A2F20" w:rsidRPr="00AE3430" w:rsidRDefault="004A2F20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</w:p>
    <w:p w:rsidR="004A2F20" w:rsidRPr="00AE3430" w:rsidRDefault="004A2F20" w:rsidP="004A2F20">
      <w:pPr>
        <w:overflowPunct/>
        <w:spacing w:after="0" w:line="240" w:lineRule="auto"/>
        <w:rPr>
          <w:rFonts w:ascii="Times New Roman" w:eastAsiaTheme="minorHAnsi" w:hAnsi="Times New Roman"/>
          <w:b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b/>
          <w:color w:val="auto"/>
          <w:sz w:val="14"/>
          <w:szCs w:val="14"/>
        </w:rPr>
        <w:t>ПОДГОТОВКА К РАБОТЕ, УСТАНОВКА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Эксплуатация светильника-облучателя должна осуществляться в соответствии с "Правилами технической эксплуатации элек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>троустановок потребителей".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Распакуйте светильник-облучатель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 и проверьте комплектность. 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Снимите боковые крышки, отвернув винты, крепящие ее к корпусу. Отверните винты, крепящие корпус к основанию, проведите провод электропитания ч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ерез отверстие в основании. 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Установите основание светильника-облучателя на несущую поверхность, подсоедините провод электропитания к клеммной ко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лодке, соблюдая полярность. 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Установите стартер/старте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ры и лампу/лампы. 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Закрепите корпус к основанию светильника, установите боковые крышки (с вентиляционными отв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ерстиями) с помощью винтов. 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Принцип работы светильника-облучателя основан на обеззараживании воздуха ультрафиолетовым излучением с длиной волны 253,7 нм в процессе протекания ег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о через полость облучателя. 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В основании закреплен вентилятор, всасываемый вентилятором 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>обеззараживаемый воздух,</w:t>
      </w: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 выходит чере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з вентиляционные отверстия. 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Светильник-облучатель рассчитан на обеззараживании воздуха в помещении в присутствии людей. Облучатель размещают в помещении таким образом, чтобы забор и выброс воздуха осуществлялись беспрепятственно и совпадали с направлениями основных конвекционных потоков (вблизи приборов отопления, оконных и дверных проемов). Облучатель устанавливают на стене вертикально, на высоте 1-1,5 м (нижняя часть корпуса) или горизонтально 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на высоте 1,5-2 м от пола. 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Облучатель обеспечивает продолжительную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 работу в течении 8 часов. 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При эксплуатации светильника следует своевременно заменять неисправные лампы (замена бактерицидной 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>лампы производится</w:t>
      </w: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 после 8000 часов работы) и стартеры. </w:t>
      </w:r>
    </w:p>
    <w:p w:rsidR="004A2F20" w:rsidRPr="00AE3430" w:rsidRDefault="004A2F20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</w:p>
    <w:p w:rsidR="004A2F20" w:rsidRPr="00AE3430" w:rsidRDefault="004A2F20" w:rsidP="004A2F20">
      <w:pPr>
        <w:overflowPunct/>
        <w:spacing w:after="0" w:line="240" w:lineRule="auto"/>
        <w:rPr>
          <w:rFonts w:ascii="Times New Roman" w:eastAsiaTheme="minorHAnsi" w:hAnsi="Times New Roman"/>
          <w:b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b/>
          <w:color w:val="auto"/>
          <w:sz w:val="14"/>
          <w:szCs w:val="14"/>
        </w:rPr>
        <w:t>СВИДЕТЕЛЬСТВО О ПРИЕМКЕ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Светильник соответствует требованиям ТУ 3461-009-12926234-2015 и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 признан годным к эксплуатации. </w:t>
      </w: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Светильник сертифицирован. </w:t>
      </w:r>
    </w:p>
    <w:p w:rsidR="004A2F20" w:rsidRPr="00AE3430" w:rsidRDefault="004A2F20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</w:p>
    <w:p w:rsidR="004A2F20" w:rsidRPr="00AE3430" w:rsidRDefault="004A2F20" w:rsidP="004A2F20">
      <w:pPr>
        <w:overflowPunct/>
        <w:spacing w:after="0" w:line="240" w:lineRule="auto"/>
        <w:rPr>
          <w:rFonts w:ascii="Times New Roman" w:eastAsiaTheme="minorHAnsi" w:hAnsi="Times New Roman"/>
          <w:b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b/>
          <w:color w:val="auto"/>
          <w:sz w:val="14"/>
          <w:szCs w:val="14"/>
        </w:rPr>
        <w:t>ТРАНСПОРТИРОВАНИЕ И ХРАНЕНИЕ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Светильник должен храниться в закрытых, сухих, проветриваемых помещениях. В воздухе помещения не должно быть кислотных, щелочных и других при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>месей, вызывающих коррозию.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Светильник должен транспортироваться железнодорожным транспортом (в крытых вагонах или в универсальных контейнерах) и крытым автотранспортом. </w:t>
      </w:r>
    </w:p>
    <w:p w:rsidR="004A2F20" w:rsidRPr="00AE3430" w:rsidRDefault="004A2F20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</w:p>
    <w:p w:rsidR="004A2F20" w:rsidRPr="00AE3430" w:rsidRDefault="004A2F20" w:rsidP="004A2F20">
      <w:pPr>
        <w:overflowPunct/>
        <w:spacing w:after="0" w:line="240" w:lineRule="auto"/>
        <w:rPr>
          <w:rFonts w:ascii="Times New Roman" w:eastAsiaTheme="minorHAnsi" w:hAnsi="Times New Roman"/>
          <w:b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b/>
          <w:color w:val="auto"/>
          <w:sz w:val="14"/>
          <w:szCs w:val="14"/>
        </w:rPr>
        <w:t>ГАРАНТИЙНЫЕ ОБЯЗАТЕЛЬСТВА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Изготовитель гарантирует нормальную работу светильника-облучателя в течени</w:t>
      </w:r>
      <w:r w:rsidR="00AE3430" w:rsidRPr="00AE3430">
        <w:rPr>
          <w:rFonts w:ascii="Times New Roman" w:eastAsiaTheme="minorHAnsi" w:hAnsi="Times New Roman"/>
          <w:color w:val="auto"/>
          <w:sz w:val="14"/>
          <w:szCs w:val="14"/>
        </w:rPr>
        <w:t>е</w:t>
      </w: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 12 месяцев со дня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 </w:t>
      </w:r>
      <w:r w:rsidR="00AE3430" w:rsidRPr="00AE3430">
        <w:rPr>
          <w:rFonts w:ascii="Times New Roman" w:eastAsiaTheme="minorHAnsi" w:hAnsi="Times New Roman"/>
          <w:color w:val="auto"/>
          <w:sz w:val="14"/>
          <w:szCs w:val="14"/>
        </w:rPr>
        <w:t>продажи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. 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В течении гарантийного срока изготовитель ремонтирует или заменяет 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светильник облучатель. </w:t>
      </w:r>
    </w:p>
    <w:p w:rsidR="004A2F20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Гарантийному ремонту и обмену не подлежат облучатели с механическими повреждениями и нарушением элект</w:t>
      </w:r>
      <w:r w:rsidR="004A2F20"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рической схемы подключения. </w:t>
      </w:r>
    </w:p>
    <w:p w:rsidR="00A87D0C" w:rsidRPr="00AE3430" w:rsidRDefault="008D1C41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Выход ламп и стартеров из строя браком не является.</w:t>
      </w:r>
    </w:p>
    <w:p w:rsidR="004A2F20" w:rsidRPr="00AE3430" w:rsidRDefault="004A2F20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</w:p>
    <w:p w:rsidR="009827DE" w:rsidRPr="00AE3430" w:rsidRDefault="009827DE" w:rsidP="009827DE">
      <w:pPr>
        <w:overflowPunct/>
        <w:spacing w:after="0"/>
        <w:rPr>
          <w:rFonts w:ascii="Times New Roman" w:eastAsiaTheme="minorHAnsi" w:hAnsi="Times New Roman"/>
          <w:b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b/>
          <w:color w:val="auto"/>
          <w:sz w:val="14"/>
          <w:szCs w:val="14"/>
        </w:rPr>
        <w:t>ИНФОРМАЦИЯ ОБ ИЗГОТОВИТЕЛЕ</w:t>
      </w:r>
    </w:p>
    <w:p w:rsidR="009827DE" w:rsidRPr="00AE3430" w:rsidRDefault="009827DE" w:rsidP="009827DE">
      <w:pPr>
        <w:overflowPunct/>
        <w:spacing w:after="0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ТМ </w:t>
      </w:r>
      <w:r w:rsidRPr="00AE3430">
        <w:rPr>
          <w:rFonts w:ascii="Times New Roman" w:eastAsiaTheme="minorHAnsi" w:hAnsi="Times New Roman"/>
          <w:color w:val="auto"/>
          <w:sz w:val="14"/>
          <w:szCs w:val="14"/>
          <w:lang w:val="en-US"/>
        </w:rPr>
        <w:t>ForLed</w:t>
      </w: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 / ООО «Формула Света»</w:t>
      </w:r>
    </w:p>
    <w:p w:rsidR="009827DE" w:rsidRPr="00AE3430" w:rsidRDefault="009827DE" w:rsidP="009827DE">
      <w:pPr>
        <w:overflowPunct/>
        <w:spacing w:after="0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>125130, г. Москва, ул. Зои и Александра Космодемьянских, д. 7, корп. 3, кв. 249</w:t>
      </w:r>
    </w:p>
    <w:p w:rsidR="009827DE" w:rsidRPr="00AE3430" w:rsidRDefault="009827DE" w:rsidP="009827DE">
      <w:pPr>
        <w:overflowPunct/>
        <w:spacing w:after="0"/>
        <w:rPr>
          <w:rFonts w:ascii="Times New Roman" w:eastAsiaTheme="minorHAnsi" w:hAnsi="Times New Roman"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color w:val="auto"/>
          <w:sz w:val="14"/>
          <w:szCs w:val="14"/>
        </w:rPr>
        <w:t xml:space="preserve">Тел.: +7 (495) </w:t>
      </w:r>
      <w:hyperlink r:id="rId11" w:history="1">
        <w:r w:rsidRPr="00AE3430">
          <w:rPr>
            <w:rFonts w:ascii="Times New Roman" w:eastAsiaTheme="minorHAnsi" w:hAnsi="Times New Roman"/>
            <w:color w:val="auto"/>
            <w:sz w:val="14"/>
            <w:szCs w:val="14"/>
          </w:rPr>
          <w:t>229-82-55</w:t>
        </w:r>
      </w:hyperlink>
    </w:p>
    <w:p w:rsidR="009827DE" w:rsidRPr="00AE3430" w:rsidRDefault="009827DE" w:rsidP="009827DE">
      <w:pPr>
        <w:pStyle w:val="ad"/>
        <w:overflowPunct/>
        <w:spacing w:after="0"/>
        <w:ind w:left="142"/>
        <w:rPr>
          <w:rFonts w:ascii="Times New Roman" w:eastAsiaTheme="minorHAnsi" w:hAnsi="Times New Roman"/>
          <w:color w:val="auto"/>
          <w:sz w:val="14"/>
          <w:szCs w:val="14"/>
        </w:rPr>
      </w:pPr>
    </w:p>
    <w:p w:rsidR="009827DE" w:rsidRPr="00AE3430" w:rsidRDefault="009827DE" w:rsidP="009827DE">
      <w:pPr>
        <w:overflowPunct/>
        <w:spacing w:after="0"/>
        <w:rPr>
          <w:rFonts w:ascii="Times New Roman" w:eastAsiaTheme="minorHAnsi" w:hAnsi="Times New Roman"/>
          <w:b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b/>
          <w:color w:val="auto"/>
          <w:sz w:val="14"/>
          <w:szCs w:val="14"/>
        </w:rPr>
        <w:t>ГАРАНТИЙНЫЙ ТАЛОН</w:t>
      </w:r>
    </w:p>
    <w:tbl>
      <w:tblPr>
        <w:tblW w:w="7230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4678"/>
        <w:gridCol w:w="2552"/>
      </w:tblGrid>
      <w:tr w:rsidR="009827DE" w:rsidRPr="00AE3430" w:rsidTr="009469DE">
        <w:trPr>
          <w:trHeight w:val="510"/>
        </w:trPr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9827DE" w:rsidRPr="00AE3430" w:rsidRDefault="009827DE" w:rsidP="009469DE">
            <w:pPr>
              <w:pStyle w:val="aa"/>
              <w:rPr>
                <w:sz w:val="14"/>
                <w:szCs w:val="14"/>
              </w:rPr>
            </w:pPr>
            <w:r w:rsidRPr="00AE3430">
              <w:rPr>
                <w:sz w:val="14"/>
                <w:szCs w:val="14"/>
              </w:rPr>
              <w:t>Изделие: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9827DE" w:rsidRPr="00AE3430" w:rsidRDefault="009827DE" w:rsidP="009469DE">
            <w:pPr>
              <w:pStyle w:val="aa"/>
              <w:jc w:val="center"/>
              <w:rPr>
                <w:sz w:val="14"/>
                <w:szCs w:val="14"/>
              </w:rPr>
            </w:pPr>
          </w:p>
        </w:tc>
      </w:tr>
      <w:tr w:rsidR="009827DE" w:rsidRPr="00AE3430" w:rsidTr="009469DE"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9827DE" w:rsidRPr="00AE3430" w:rsidRDefault="009827DE" w:rsidP="009469DE">
            <w:pPr>
              <w:pStyle w:val="aa"/>
              <w:rPr>
                <w:sz w:val="14"/>
                <w:szCs w:val="14"/>
              </w:rPr>
            </w:pPr>
            <w:r w:rsidRPr="00AE3430">
              <w:rPr>
                <w:sz w:val="14"/>
                <w:szCs w:val="14"/>
              </w:rPr>
              <w:t>Дата продажи: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9827DE" w:rsidRPr="00AE3430" w:rsidRDefault="009827DE" w:rsidP="009469DE">
            <w:pPr>
              <w:pStyle w:val="aa"/>
              <w:jc w:val="center"/>
              <w:rPr>
                <w:sz w:val="14"/>
                <w:szCs w:val="14"/>
              </w:rPr>
            </w:pPr>
          </w:p>
        </w:tc>
      </w:tr>
      <w:tr w:rsidR="009827DE" w:rsidRPr="00AE3430" w:rsidTr="009469DE"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9827DE" w:rsidRPr="00AE3430" w:rsidRDefault="009827DE" w:rsidP="009469DE">
            <w:pPr>
              <w:pStyle w:val="aa"/>
              <w:rPr>
                <w:sz w:val="14"/>
                <w:szCs w:val="14"/>
              </w:rPr>
            </w:pPr>
            <w:r w:rsidRPr="00AE3430">
              <w:rPr>
                <w:sz w:val="14"/>
                <w:szCs w:val="14"/>
              </w:rPr>
              <w:t xml:space="preserve">Подпись продавца: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827DE" w:rsidRPr="00AE3430" w:rsidRDefault="009827DE" w:rsidP="009469DE">
            <w:pPr>
              <w:pStyle w:val="aa"/>
              <w:rPr>
                <w:sz w:val="14"/>
                <w:szCs w:val="14"/>
              </w:rPr>
            </w:pPr>
            <w:r w:rsidRPr="00AE3430">
              <w:rPr>
                <w:sz w:val="14"/>
                <w:szCs w:val="14"/>
              </w:rPr>
              <w:t>Подпись покупателя:</w:t>
            </w:r>
          </w:p>
        </w:tc>
      </w:tr>
      <w:tr w:rsidR="009827DE" w:rsidRPr="00AE3430" w:rsidTr="009469DE"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9827DE" w:rsidRPr="00AE3430" w:rsidRDefault="009827DE" w:rsidP="009469DE">
            <w:pPr>
              <w:pStyle w:val="aa"/>
              <w:rPr>
                <w:sz w:val="14"/>
                <w:szCs w:val="14"/>
              </w:rPr>
            </w:pPr>
            <w:r w:rsidRPr="00AE3430">
              <w:rPr>
                <w:sz w:val="14"/>
                <w:szCs w:val="14"/>
              </w:rPr>
              <w:t>Дата обращения: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827DE" w:rsidRPr="00AE3430" w:rsidRDefault="009827DE" w:rsidP="009469DE">
            <w:pPr>
              <w:pStyle w:val="aa"/>
              <w:rPr>
                <w:sz w:val="14"/>
                <w:szCs w:val="14"/>
              </w:rPr>
            </w:pPr>
            <w:r w:rsidRPr="00AE3430">
              <w:rPr>
                <w:sz w:val="14"/>
                <w:szCs w:val="14"/>
              </w:rPr>
              <w:t>Подпись покупателя:</w:t>
            </w:r>
          </w:p>
        </w:tc>
      </w:tr>
      <w:tr w:rsidR="009827DE" w:rsidRPr="00AE3430" w:rsidTr="009469DE">
        <w:trPr>
          <w:trHeight w:val="6"/>
        </w:trPr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9827DE" w:rsidRPr="00AE3430" w:rsidRDefault="009827DE" w:rsidP="009469DE">
            <w:pPr>
              <w:pStyle w:val="aa"/>
              <w:rPr>
                <w:sz w:val="14"/>
                <w:szCs w:val="14"/>
              </w:rPr>
            </w:pPr>
            <w:r w:rsidRPr="00AE3430">
              <w:rPr>
                <w:sz w:val="14"/>
                <w:szCs w:val="14"/>
              </w:rPr>
              <w:t>Причина обращения: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bottom"/>
          </w:tcPr>
          <w:p w:rsidR="009827DE" w:rsidRPr="00AE3430" w:rsidRDefault="009827DE" w:rsidP="009469DE">
            <w:pPr>
              <w:pStyle w:val="aa"/>
              <w:rPr>
                <w:sz w:val="14"/>
                <w:szCs w:val="14"/>
              </w:rPr>
            </w:pPr>
          </w:p>
        </w:tc>
      </w:tr>
    </w:tbl>
    <w:p w:rsidR="009827DE" w:rsidRPr="00AE3430" w:rsidRDefault="009827DE" w:rsidP="009827DE">
      <w:pPr>
        <w:overflowPunct/>
        <w:spacing w:after="0"/>
        <w:rPr>
          <w:rFonts w:ascii="Times New Roman" w:eastAsiaTheme="minorHAnsi" w:hAnsi="Times New Roman"/>
          <w:color w:val="auto"/>
          <w:sz w:val="14"/>
          <w:szCs w:val="14"/>
        </w:rPr>
      </w:pPr>
    </w:p>
    <w:p w:rsidR="009827DE" w:rsidRPr="00AE3430" w:rsidRDefault="009827DE" w:rsidP="009827DE">
      <w:pPr>
        <w:overflowPunct/>
        <w:spacing w:after="0"/>
        <w:rPr>
          <w:rFonts w:ascii="Times New Roman" w:eastAsiaTheme="minorHAnsi" w:hAnsi="Times New Roman"/>
          <w:b/>
          <w:color w:val="auto"/>
          <w:sz w:val="14"/>
          <w:szCs w:val="14"/>
        </w:rPr>
      </w:pPr>
      <w:r w:rsidRPr="00AE3430">
        <w:rPr>
          <w:rFonts w:ascii="Times New Roman" w:eastAsiaTheme="minorHAnsi" w:hAnsi="Times New Roman"/>
          <w:b/>
          <w:color w:val="auto"/>
          <w:sz w:val="14"/>
          <w:szCs w:val="14"/>
        </w:rPr>
        <w:t>ВНИМАНИЕ! Гарантийный талон действует только при наличии печати и подписи продавца и покупателя. По вопросам сервисного обслуживания обращаться к организации-продавцу.</w:t>
      </w:r>
    </w:p>
    <w:p w:rsidR="004A2F20" w:rsidRPr="00AE3430" w:rsidRDefault="004A2F20" w:rsidP="004A2F20">
      <w:pPr>
        <w:overflowPunct/>
        <w:spacing w:after="0" w:line="240" w:lineRule="auto"/>
        <w:rPr>
          <w:rFonts w:ascii="Times New Roman" w:eastAsiaTheme="minorHAnsi" w:hAnsi="Times New Roman"/>
          <w:color w:val="auto"/>
          <w:sz w:val="14"/>
          <w:szCs w:val="14"/>
        </w:rPr>
      </w:pPr>
    </w:p>
    <w:sectPr w:rsidR="004A2F20" w:rsidRPr="00AE3430" w:rsidSect="00C61E7F">
      <w:type w:val="continuous"/>
      <w:pgSz w:w="16838" w:h="11906" w:orient="landscape"/>
      <w:pgMar w:top="568" w:right="253" w:bottom="426" w:left="426" w:header="0" w:footer="0" w:gutter="0"/>
      <w:cols w:num="2" w:space="394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FF9" w:rsidRPr="00003B15" w:rsidRDefault="00D94FF9" w:rsidP="00003B15">
      <w:pPr>
        <w:pStyle w:val="aa"/>
        <w:rPr>
          <w:rFonts w:ascii="Calibri" w:hAnsi="Calibri"/>
          <w:sz w:val="22"/>
          <w:szCs w:val="22"/>
        </w:rPr>
      </w:pPr>
      <w:r>
        <w:separator/>
      </w:r>
    </w:p>
  </w:endnote>
  <w:endnote w:type="continuationSeparator" w:id="0">
    <w:p w:rsidR="00D94FF9" w:rsidRPr="00003B15" w:rsidRDefault="00D94FF9" w:rsidP="00003B15">
      <w:pPr>
        <w:pStyle w:val="aa"/>
        <w:rPr>
          <w:rFonts w:ascii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;新細明體">
    <w:altName w:val="Noto Serif SC ExtraLight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FF9" w:rsidRPr="00003B15" w:rsidRDefault="00D94FF9" w:rsidP="00003B15">
      <w:pPr>
        <w:pStyle w:val="aa"/>
        <w:rPr>
          <w:rFonts w:ascii="Calibri" w:hAnsi="Calibri"/>
          <w:sz w:val="22"/>
          <w:szCs w:val="22"/>
        </w:rPr>
      </w:pPr>
      <w:r>
        <w:separator/>
      </w:r>
    </w:p>
  </w:footnote>
  <w:footnote w:type="continuationSeparator" w:id="0">
    <w:p w:rsidR="00D94FF9" w:rsidRPr="00003B15" w:rsidRDefault="00D94FF9" w:rsidP="00003B15">
      <w:pPr>
        <w:pStyle w:val="aa"/>
        <w:rPr>
          <w:rFonts w:ascii="Calibri" w:hAnsi="Calibr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AD3"/>
    <w:multiLevelType w:val="multilevel"/>
    <w:tmpl w:val="F8266A78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decimal"/>
      <w:pStyle w:val="2"/>
      <w:lvlText w:val="%2"/>
      <w:lvlJc w:val="left"/>
      <w:pPr>
        <w:ind w:left="142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867B86"/>
    <w:multiLevelType w:val="multilevel"/>
    <w:tmpl w:val="3496B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D9540A"/>
    <w:multiLevelType w:val="multilevel"/>
    <w:tmpl w:val="775EEC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5274C66"/>
    <w:multiLevelType w:val="multilevel"/>
    <w:tmpl w:val="6F14B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D0C"/>
    <w:rsid w:val="00003B15"/>
    <w:rsid w:val="000463E0"/>
    <w:rsid w:val="00053D89"/>
    <w:rsid w:val="000B5D98"/>
    <w:rsid w:val="000C6D82"/>
    <w:rsid w:val="000F3FD7"/>
    <w:rsid w:val="00101DFE"/>
    <w:rsid w:val="001628BD"/>
    <w:rsid w:val="00164B98"/>
    <w:rsid w:val="00182189"/>
    <w:rsid w:val="00197F62"/>
    <w:rsid w:val="002824B7"/>
    <w:rsid w:val="0029596F"/>
    <w:rsid w:val="002B612B"/>
    <w:rsid w:val="002D0EB3"/>
    <w:rsid w:val="002E5CDB"/>
    <w:rsid w:val="00310860"/>
    <w:rsid w:val="003114E6"/>
    <w:rsid w:val="00324446"/>
    <w:rsid w:val="003769DE"/>
    <w:rsid w:val="003B7728"/>
    <w:rsid w:val="003F513E"/>
    <w:rsid w:val="003F594B"/>
    <w:rsid w:val="00412A0B"/>
    <w:rsid w:val="00425AC7"/>
    <w:rsid w:val="0045102A"/>
    <w:rsid w:val="00465452"/>
    <w:rsid w:val="00492EDF"/>
    <w:rsid w:val="004A2F20"/>
    <w:rsid w:val="004D2A34"/>
    <w:rsid w:val="004E6AB0"/>
    <w:rsid w:val="004E7814"/>
    <w:rsid w:val="005354CF"/>
    <w:rsid w:val="00575554"/>
    <w:rsid w:val="005927E7"/>
    <w:rsid w:val="005D14FF"/>
    <w:rsid w:val="006B624A"/>
    <w:rsid w:val="006E451E"/>
    <w:rsid w:val="00705E01"/>
    <w:rsid w:val="007C50A5"/>
    <w:rsid w:val="00804D7F"/>
    <w:rsid w:val="008068C1"/>
    <w:rsid w:val="0081596E"/>
    <w:rsid w:val="00875107"/>
    <w:rsid w:val="008C2DB9"/>
    <w:rsid w:val="008C2E23"/>
    <w:rsid w:val="008D1C41"/>
    <w:rsid w:val="008D2A1A"/>
    <w:rsid w:val="008F3961"/>
    <w:rsid w:val="00901C95"/>
    <w:rsid w:val="00950BFB"/>
    <w:rsid w:val="009827DE"/>
    <w:rsid w:val="009970DD"/>
    <w:rsid w:val="009B6B9B"/>
    <w:rsid w:val="009B73F5"/>
    <w:rsid w:val="00A87D0C"/>
    <w:rsid w:val="00AE3430"/>
    <w:rsid w:val="00AF54D6"/>
    <w:rsid w:val="00B03037"/>
    <w:rsid w:val="00B316DE"/>
    <w:rsid w:val="00B4245B"/>
    <w:rsid w:val="00B92A2B"/>
    <w:rsid w:val="00BB411E"/>
    <w:rsid w:val="00BC3FCF"/>
    <w:rsid w:val="00BF24E1"/>
    <w:rsid w:val="00C04313"/>
    <w:rsid w:val="00C3734C"/>
    <w:rsid w:val="00C52D1F"/>
    <w:rsid w:val="00C61B09"/>
    <w:rsid w:val="00C61E7F"/>
    <w:rsid w:val="00C827FD"/>
    <w:rsid w:val="00C853CC"/>
    <w:rsid w:val="00CC436D"/>
    <w:rsid w:val="00CC790D"/>
    <w:rsid w:val="00D43C50"/>
    <w:rsid w:val="00D84DAF"/>
    <w:rsid w:val="00D94FF9"/>
    <w:rsid w:val="00E00D06"/>
    <w:rsid w:val="00EA5850"/>
    <w:rsid w:val="00EB4415"/>
    <w:rsid w:val="00EE02CF"/>
    <w:rsid w:val="00EF4F2B"/>
    <w:rsid w:val="00EF6114"/>
    <w:rsid w:val="00F14359"/>
    <w:rsid w:val="00F362BA"/>
    <w:rsid w:val="00FA7B97"/>
    <w:rsid w:val="00FB04A3"/>
    <w:rsid w:val="00FB2509"/>
    <w:rsid w:val="00FB2AB2"/>
    <w:rsid w:val="00FC22D2"/>
    <w:rsid w:val="00FD0A33"/>
    <w:rsid w:val="00FD7EC9"/>
    <w:rsid w:val="00FE2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6F1F0-94CE-4533-A682-C7691E8B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7D0C"/>
    <w:pPr>
      <w:suppressAutoHyphens/>
      <w:overflowPunct w:val="0"/>
      <w:spacing w:after="200" w:line="276" w:lineRule="auto"/>
    </w:pPr>
    <w:rPr>
      <w:color w:val="00000A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04313"/>
    <w:pPr>
      <w:keepNext/>
      <w:keepLines/>
      <w:numPr>
        <w:ilvl w:val="1"/>
        <w:numId w:val="3"/>
      </w:numPr>
      <w:suppressAutoHyphens w:val="0"/>
      <w:overflowPunct/>
      <w:spacing w:before="200" w:after="0"/>
      <w:ind w:left="0"/>
      <w:outlineLvl w:val="1"/>
    </w:pPr>
    <w:rPr>
      <w:rFonts w:ascii="Times New Roman" w:eastAsiaTheme="majorEastAsia" w:hAnsi="Times New Roman"/>
      <w:b/>
      <w:bCs/>
      <w:color w:val="auto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rsid w:val="00A87D0C"/>
    <w:rPr>
      <w:rFonts w:ascii="Consolas" w:hAnsi="Consolas"/>
      <w:sz w:val="21"/>
      <w:szCs w:val="21"/>
    </w:rPr>
  </w:style>
  <w:style w:type="character" w:customStyle="1" w:styleId="a4">
    <w:name w:val="Текст выноски Знак"/>
    <w:basedOn w:val="a0"/>
    <w:rsid w:val="00A87D0C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87D0C"/>
    <w:rPr>
      <w:rFonts w:ascii="Times New Roman" w:hAnsi="Times New Roman" w:cs="Times New Roman"/>
      <w:b/>
      <w:sz w:val="18"/>
      <w:szCs w:val="18"/>
      <w:lang w:eastAsia="ru-RU"/>
    </w:rPr>
  </w:style>
  <w:style w:type="character" w:customStyle="1" w:styleId="WW8Num2z0">
    <w:name w:val="WW8Num2z0"/>
    <w:rsid w:val="00A87D0C"/>
    <w:rPr>
      <w:rFonts w:ascii="Times New Roman" w:eastAsia="PMingLiU;新細明體" w:hAnsi="Times New Roman" w:cs="Times New Roman"/>
      <w:sz w:val="18"/>
      <w:szCs w:val="18"/>
    </w:rPr>
  </w:style>
  <w:style w:type="character" w:customStyle="1" w:styleId="WW8Num2z2">
    <w:name w:val="WW8Num2z2"/>
    <w:rsid w:val="00A87D0C"/>
  </w:style>
  <w:style w:type="character" w:customStyle="1" w:styleId="WW8Num2z3">
    <w:name w:val="WW8Num2z3"/>
    <w:rsid w:val="00A87D0C"/>
  </w:style>
  <w:style w:type="character" w:customStyle="1" w:styleId="WW8Num2z4">
    <w:name w:val="WW8Num2z4"/>
    <w:rsid w:val="00A87D0C"/>
  </w:style>
  <w:style w:type="character" w:customStyle="1" w:styleId="WW8Num2z5">
    <w:name w:val="WW8Num2z5"/>
    <w:rsid w:val="00A87D0C"/>
  </w:style>
  <w:style w:type="character" w:customStyle="1" w:styleId="WW8Num2z6">
    <w:name w:val="WW8Num2z6"/>
    <w:rsid w:val="00A87D0C"/>
  </w:style>
  <w:style w:type="character" w:customStyle="1" w:styleId="WW8Num2z7">
    <w:name w:val="WW8Num2z7"/>
    <w:rsid w:val="00A87D0C"/>
  </w:style>
  <w:style w:type="character" w:customStyle="1" w:styleId="WW8Num2z8">
    <w:name w:val="WW8Num2z8"/>
    <w:rsid w:val="00A87D0C"/>
  </w:style>
  <w:style w:type="paragraph" w:customStyle="1" w:styleId="a5">
    <w:name w:val="Заголовок"/>
    <w:basedOn w:val="a"/>
    <w:next w:val="a6"/>
    <w:rsid w:val="00A87D0C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A87D0C"/>
    <w:pPr>
      <w:spacing w:after="140" w:line="288" w:lineRule="auto"/>
    </w:pPr>
  </w:style>
  <w:style w:type="paragraph" w:styleId="a7">
    <w:name w:val="List"/>
    <w:basedOn w:val="a6"/>
    <w:rsid w:val="00A87D0C"/>
    <w:rPr>
      <w:rFonts w:cs="Lohit Devanagari"/>
    </w:rPr>
  </w:style>
  <w:style w:type="paragraph" w:styleId="a8">
    <w:name w:val="Title"/>
    <w:basedOn w:val="a"/>
    <w:rsid w:val="00A87D0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rsid w:val="00A87D0C"/>
    <w:pPr>
      <w:suppressLineNumbers/>
    </w:pPr>
    <w:rPr>
      <w:rFonts w:cs="Lohit Devanagari"/>
    </w:rPr>
  </w:style>
  <w:style w:type="paragraph" w:customStyle="1" w:styleId="Default">
    <w:name w:val="Default"/>
    <w:rsid w:val="00A87D0C"/>
    <w:pPr>
      <w:suppressAutoHyphens/>
      <w:overflowPunct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 Spacing"/>
    <w:qFormat/>
    <w:rsid w:val="00A87D0C"/>
    <w:pPr>
      <w:suppressAutoHyphens/>
      <w:overflowPunct w:val="0"/>
    </w:pPr>
    <w:rPr>
      <w:rFonts w:ascii="Times New Roman" w:hAnsi="Times New Roman"/>
      <w:color w:val="00000A"/>
      <w:sz w:val="28"/>
      <w:lang w:eastAsia="en-US"/>
    </w:rPr>
  </w:style>
  <w:style w:type="paragraph" w:styleId="ab">
    <w:name w:val="Plain Text"/>
    <w:basedOn w:val="a"/>
    <w:rsid w:val="00A87D0C"/>
    <w:pPr>
      <w:spacing w:after="0" w:line="240" w:lineRule="auto"/>
    </w:pPr>
    <w:rPr>
      <w:rFonts w:ascii="Consolas" w:hAnsi="Consolas"/>
      <w:sz w:val="21"/>
      <w:szCs w:val="21"/>
    </w:rPr>
  </w:style>
  <w:style w:type="paragraph" w:styleId="ac">
    <w:name w:val="Balloon Text"/>
    <w:basedOn w:val="a"/>
    <w:rsid w:val="00A87D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87D0C"/>
    <w:pPr>
      <w:ind w:left="720"/>
      <w:contextualSpacing/>
    </w:pPr>
  </w:style>
  <w:style w:type="paragraph" w:customStyle="1" w:styleId="ae">
    <w:name w:val="Содержимое таблицы"/>
    <w:basedOn w:val="a"/>
    <w:rsid w:val="00A87D0C"/>
  </w:style>
  <w:style w:type="numbering" w:customStyle="1" w:styleId="WW8Num1">
    <w:name w:val="WW8Num1"/>
    <w:rsid w:val="00A87D0C"/>
  </w:style>
  <w:style w:type="numbering" w:customStyle="1" w:styleId="WW8Num2">
    <w:name w:val="WW8Num2"/>
    <w:rsid w:val="00A87D0C"/>
  </w:style>
  <w:style w:type="character" w:customStyle="1" w:styleId="20">
    <w:name w:val="Заголовок 2 Знак"/>
    <w:basedOn w:val="a0"/>
    <w:link w:val="2"/>
    <w:uiPriority w:val="9"/>
    <w:rsid w:val="00C04313"/>
    <w:rPr>
      <w:rFonts w:ascii="Times New Roman" w:eastAsiaTheme="majorEastAsia" w:hAnsi="Times New Roman"/>
      <w:b/>
      <w:bCs/>
      <w:sz w:val="24"/>
      <w:szCs w:val="24"/>
      <w:lang w:val="en-US" w:eastAsia="en-US"/>
    </w:rPr>
  </w:style>
  <w:style w:type="paragraph" w:styleId="af">
    <w:name w:val="header"/>
    <w:basedOn w:val="a"/>
    <w:link w:val="af0"/>
    <w:uiPriority w:val="99"/>
    <w:semiHidden/>
    <w:unhideWhenUsed/>
    <w:rsid w:val="0000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03B15"/>
    <w:rPr>
      <w:color w:val="00000A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00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03B15"/>
    <w:rPr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74952298255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F646-0920-48DC-BB2F-7E9076E9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ignatov</dc:creator>
  <cp:lastModifiedBy>Учетная запись Майкрософт</cp:lastModifiedBy>
  <cp:revision>17</cp:revision>
  <cp:lastPrinted>2021-06-03T10:28:00Z</cp:lastPrinted>
  <dcterms:created xsi:type="dcterms:W3CDTF">2024-01-19T08:45:00Z</dcterms:created>
  <dcterms:modified xsi:type="dcterms:W3CDTF">2026-02-16T12:02:00Z</dcterms:modified>
  <dc:language>ru-RU</dc:language>
</cp:coreProperties>
</file>