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YS Text" w:cs="YS Text" w:eastAsia="YS Text" w:hAnsi="YS Text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YS Text" w:cs="YS Text" w:eastAsia="YS Text" w:hAnsi="YS Text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YS Text" w:cs="YS Text" w:eastAsia="YS Text" w:hAnsi="YS Text"/>
          <w:color w:val="000000"/>
          <w:sz w:val="23"/>
          <w:szCs w:val="23"/>
        </w:rPr>
        <w:drawing>
          <wp:inline distB="0" distT="0" distL="0" distR="0">
            <wp:extent cx="1704975" cy="809625"/>
            <wp:effectExtent b="0" l="0" r="0" t="0"/>
            <wp:docPr descr="D:\китай\Душторг\синий лого.png" id="1" name="image1.png"/>
            <a:graphic>
              <a:graphicData uri="http://schemas.openxmlformats.org/drawingml/2006/picture">
                <pic:pic>
                  <pic:nvPicPr>
                    <pic:cNvPr descr="D:\китай\Душторг\синий лого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0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YS Text" w:cs="YS Text" w:eastAsia="YS Text" w:hAnsi="YS Text"/>
          <w:color w:val="000000"/>
          <w:sz w:val="23"/>
          <w:szCs w:val="23"/>
          <w:rtl w:val="0"/>
        </w:rPr>
        <w:t xml:space="preserve">            </w:t>
      </w:r>
      <w:r w:rsidDel="00000000" w:rsidR="00000000" w:rsidRPr="00000000">
        <w:rPr>
          <w:rFonts w:ascii="YS Text" w:cs="YS Text" w:eastAsia="YS Text" w:hAnsi="YS Text"/>
          <w:b w:val="1"/>
          <w:bCs w:val="1"/>
          <w:color w:val="000000"/>
          <w:sz w:val="16"/>
          <w:szCs w:val="16"/>
          <w:rtl w:val="0"/>
        </w:rPr>
        <w:t xml:space="preserve">ГАРАНТИЙНЫЙ ТАЛОН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YS Text" w:cs="YS Text" w:eastAsia="YS Text" w:hAnsi="YS Text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1b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1b"/>
          <w:sz w:val="16"/>
          <w:szCs w:val="16"/>
          <w:u w:val="none"/>
          <w:shd w:fill="auto" w:val="clear"/>
          <w:vertAlign w:val="baseline"/>
          <w:rtl w:val="0"/>
        </w:rPr>
        <w:t xml:space="preserve">Внимание!!!Убедительно просим Вас, во избежание недоразумений, внимательно изучать инструкцию,сантехнического изделия,по монтажу и эксплуатации.Проверьте правильность заполнения гарантийного талона, обратите внимание на наличие даты продажи,подписи продавца, печати магазина.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Гарантийный срок начинает исчисляться с даты покупки товара. Дата покупки товара подтверждается товарным или кассовым чеком.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Сантехнические изделия предназначены для бытового применения и подлежат установке в санитарных узлах жилых зданий, предприятий, учреждений и сооружений различного назначения, оборудованных водопроводом,канализацией и электричеством.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1.0" w:type="dxa"/>
        <w:jc w:val="left"/>
        <w:tblInd w:w="421.0" w:type="dxa"/>
        <w:tblLayout w:type="fixed"/>
        <w:tblLook w:val="0400"/>
      </w:tblPr>
      <w:tblGrid>
        <w:gridCol w:w="6845"/>
        <w:gridCol w:w="2066"/>
        <w:tblGridChange w:id="0">
          <w:tblGrid>
            <w:gridCol w:w="6845"/>
            <w:gridCol w:w="206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группа товара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нужное отметить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Санфаянс.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Душевые кабины,душевые шторки,поддоны,гидромассажные колонны.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Мебель для ванной комнаты,зеркала.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1.Гарантийный срок эксплуатации на сантехнические изделия бренда “Taliente” устанавливается следующий: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Санфаянс-5 лет на керамические части изделия и свойства керамики (трещины),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1b"/>
          <w:sz w:val="16"/>
          <w:szCs w:val="16"/>
          <w:u w:val="none"/>
          <w:shd w:fill="auto" w:val="clear"/>
          <w:vertAlign w:val="baseline"/>
          <w:rtl w:val="0"/>
        </w:rPr>
        <w:t xml:space="preserve">(для оборудования, установленного в местах общественного пользования-12 месяцев)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4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 года(24месяцев) на сливную/наливную арматуру бачка унитаза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1b"/>
          <w:sz w:val="16"/>
          <w:szCs w:val="16"/>
          <w:u w:val="none"/>
          <w:shd w:fill="auto" w:val="clear"/>
          <w:vertAlign w:val="baseline"/>
          <w:rtl w:val="0"/>
        </w:rPr>
        <w:t xml:space="preserve">(для оборудования, установленного в местах общественного пользования-12 месяцев)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44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1b"/>
          <w:sz w:val="16"/>
          <w:szCs w:val="16"/>
          <w:u w:val="none"/>
          <w:shd w:fill="auto" w:val="clear"/>
          <w:vertAlign w:val="baseline"/>
          <w:rtl w:val="0"/>
        </w:rPr>
        <w:t xml:space="preserve">12 месяцев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на сидения и крепления к ним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1b"/>
          <w:sz w:val="16"/>
          <w:szCs w:val="16"/>
          <w:u w:val="none"/>
          <w:shd w:fill="auto" w:val="clear"/>
          <w:vertAlign w:val="baseline"/>
          <w:rtl w:val="0"/>
        </w:rPr>
        <w:t xml:space="preserve">(для оборудования, установленного в местах общественного пользования-6 месяцев)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1d1d1b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Душевые кабины,душевые шторки,поддоны,гидромассажные колонны-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1b"/>
          <w:sz w:val="16"/>
          <w:szCs w:val="16"/>
          <w:u w:val="none"/>
          <w:shd w:fill="auto" w:val="clear"/>
          <w:vertAlign w:val="baseline"/>
          <w:rtl w:val="0"/>
        </w:rPr>
        <w:t xml:space="preserve">1 год(12 месяцев) со дня продажи (для оборудования, установленного в местах общественного пользования-6 месяцев).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1d1d1b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Мебель для ванной комнаты,зеркала-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1b"/>
          <w:sz w:val="16"/>
          <w:szCs w:val="16"/>
          <w:u w:val="none"/>
          <w:shd w:fill="auto" w:val="clear"/>
          <w:vertAlign w:val="baseline"/>
          <w:rtl w:val="0"/>
        </w:rPr>
        <w:t xml:space="preserve">2 года (24 месяца) со дня продажи (для оборудования, установленного в местах общественного пользования-12 месяцев).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1b"/>
          <w:sz w:val="16"/>
          <w:szCs w:val="16"/>
          <w:u w:val="none"/>
          <w:shd w:fill="auto" w:val="clear"/>
          <w:vertAlign w:val="baseline"/>
        </w:rPr>
      </w:pPr>
      <w:bookmarkStart w:colFirst="0" w:colLast="0" w:name="_7e89dp2mgi7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1b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2.Гарантия  предоставляется на следующих условиях: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Гарантийное обслуживание осуществляется только при наличии гарантийного талона и документа, подтверждающего дату и факт совершения покупки например,(товарным или кассовым чеком). Гарантия распространяется только на заводские дефекты(недостатки) изделия.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При покупке и приемке потребитель обязан проверить изделие на отсутствие видимых дефектов. Внешний вид и комплектация изделия должны быть про верены потребителем в месте приобретения изделия. После приобретения изделия претензии, касающиеся повреждений внешних поверхностей, внешнего вида и комплектации, поставщиком продукции не рассматриваюся.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Перед осуществлением монтажа необходимо внимательно проверить изделие на предмет отсутствия дефектов и комплектацию изделия. Установка и дальнейшая эксплуатация изделия с выявленными недостатками не допускается. О факте обнаружения недостатках в Изделии необходимо сообщить по месту рассмотрения претензий (рекламаций), указанному внизу данного гарантийного талона.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Продавец не несет ответственности за дефекты изделия, вызванные ненадлежащей транспортировкой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изделия, неправильной установкой изделия, использованием изделия не по назначению, возникшие вследствие использования потребителем во время монтажа запасных частей (комплектующих), которые не были получены им непосредственно от продавца.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Продавец не компенсирует потребителю затраты, связанные с заменой Изделия в случае несоблюдения покупателем правил эксплуатации, инструкции по монтажу, рекомендаций по уходу за Изделием.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3.Продавец оставляет за собой право отказа от бесплатного гарантийного ремонта в следующих случаях: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644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Если изделие имеет следы постороннего вмешательства или была попытка самостоятельного ремонта.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644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Если обнаружены  несанкционированные изменения конструкции изделия.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644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Если изделие эксплуатировалось не в соответствии со своим целевым предназначением или в условиях, для которых оно не предназначено.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644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Если изделие использовалось с фурнитурой, не предусмотренной изготовителем.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644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Если в гарантийном талоне присутствуют исправления, не заверенные продавцом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644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Если обнаружены повреждения изделия, вызванные неправильным подключением к электросети,отсутствие установленного клиентом на отдельном кабеле биполярного магнитотермического рубильника безопасности (УЗО),отсутствие установленных клиентом редукторов давления воды,а так же при аварии существующих системы канализации, электро и водоснабжения.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644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Если обнаружены следы хранения внутри мебели мокрых и влажных вещей, а также расслоение, растрескивание и разбухание фасадных деталей и частей корпуса вследствие прямого попадания на них воды.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644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Если дефект появился в результате отсутствия периодического подтягивания резьбовых соединений по мере надобности.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4. Гарантия не распространяется на изделия, недостатки в которых возникли после их передачи потребителю, в результате:</w:t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повреждения или уничтожения изделия в процессе транспортировки;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внесения потребителем или третьими лицами изменений в конструкцию изделия;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нарушения пользователем правил эксплуатации изделия, использования не по         назначению;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нарушения инструкции по монтажу;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несоблюдения правил по уходу за изделием, использования абразивных и  сильнодействующих химических чистящих средств;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использования неоригинальных запасных частей и комплектующих не рекомендованных производителем;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механических повреждений: ударов, сколов, царапин;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естественного износа изделия и его комплектующих: прокладок,уплотнителей,роликов, ползунков, ручек, петель;</w:t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образования известкового налета или железистого осадка;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влияния низких температур на изделия (нарушения правил хранения);</w:t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по вине потребителя;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действий третьих лиц или непреодолимой силы.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Гарантия на заменённые компоненты прекращается вместе с гарантией на изделие.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Изготовитель снимает с себя ответственность за возможный вред, прямо или косвенно нанесенный продукцией бренда“Taliente” людям, домашним животным, имуществу в случае, если это произошло в результате несоблюдения правил и условий эксплуатации, установки изделия; умышленных или неосторожных действий потребителя или третьих лиц.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5. Порядок рассмотрения претензий (рекламаций):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Претензии по качеству Изделия и его комплектующих принимаются на протяжении всего гарантийного срока.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Претензии по качеству изделия принимаются: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по месту приобретения изделия;</w:t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по телефонам постащика бренда “Talientе”(см.ниже)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Потребитель вправе предъявить требования к продавцу в отношении дефектов (недостатков изделия), если они обнаружены в течение гарантийного срока.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Все претензии в отношении недостатков изделия рассматриваются при наличии прилагаемых к претензии следующих документов:</w:t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документы, подтверждающие покупку изделия (товарный/кассовый чек или заполненный гарантийный талон);</w:t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• фото/видео материал.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Предельный срок устранения недостатков товара, обнаруженных в период действия гарантии, определяется в соответствии с законодательством РФ.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Продавец не компенсирует потребителю затраты, которые он произвел для устранения недостатков (дефектов) изделия с привлечением третьих лиц. Подобные компенсации в исключительных случаях могут быть согласованы производителем при наличии документально подтвержденных затрат.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6.Технические данные по подключению изделия и требуемое доп.оборудование: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Электросеть 220В +5%,50Гц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Оптимальное давление воды 1,5-4,5 бар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Максимальное давление воды 5 бар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Дифференциальное устройство защитного отключения электропитания на 30мА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Редектор поддержки давления воды не более 4,5 бар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Фильтра очистки воды от механических примесей со степенью очистки не более 100 микрон.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7.Заполняется продавцом: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9.0" w:type="dxa"/>
        <w:jc w:val="left"/>
        <w:tblInd w:w="421.0" w:type="dxa"/>
        <w:tblLayout w:type="fixed"/>
        <w:tblLook w:val="0400"/>
      </w:tblPr>
      <w:tblGrid>
        <w:gridCol w:w="4730"/>
        <w:gridCol w:w="4189"/>
        <w:tblGridChange w:id="0">
          <w:tblGrid>
            <w:gridCol w:w="4730"/>
            <w:gridCol w:w="4189"/>
          </w:tblGrid>
        </w:tblGridChange>
      </w:tblGrid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Заказчик ФИО                   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Телефон: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Модель(изделие,артикул)</w:t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Торгующая организация: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Подпись:</w:t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1d1d1b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1d1b"/>
                <w:sz w:val="16"/>
                <w:szCs w:val="16"/>
                <w:rtl w:val="0"/>
              </w:rPr>
              <w:t xml:space="preserve">Претензий по комплектации и внешнему виду оборудования нет,с инструкцией ознакомлен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Подпись покупателя: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color w:val="1d1d1b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1d1d1b"/>
                <w:sz w:val="14"/>
                <w:szCs w:val="14"/>
                <w:rtl w:val="0"/>
              </w:rPr>
              <w:t xml:space="preserve"> 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d1d1b"/>
                <w:sz w:val="16"/>
                <w:szCs w:val="16"/>
                <w:rtl w:val="0"/>
              </w:rPr>
              <w:t xml:space="preserve">Дата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Печать продавца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rPr>
          <w:rFonts w:ascii="Arial" w:cs="Arial" w:eastAsia="Arial" w:hAnsi="Arial"/>
          <w:color w:val="1d1d1b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1d1d1b"/>
          <w:sz w:val="16"/>
          <w:szCs w:val="16"/>
          <w:rtl w:val="0"/>
        </w:rPr>
        <w:t xml:space="preserve">По вопросам сервисного обслуживания обращаться по месту приобретения товара или в официальные уполномоченные сервисные центры поставшика бренда “Taliente”: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rPr>
          <w:rFonts w:ascii="Arial" w:cs="Arial" w:eastAsia="Arial" w:hAnsi="Arial"/>
          <w:color w:val="1d1d1b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1d1d1b"/>
          <w:sz w:val="16"/>
          <w:szCs w:val="16"/>
          <w:rtl w:val="0"/>
        </w:rPr>
        <w:t xml:space="preserve">Часы работы с 10.00 до 18.00 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rPr>
          <w:rFonts w:ascii="Arial" w:cs="Arial" w:eastAsia="Arial" w:hAnsi="Arial"/>
          <w:color w:val="1d1d1b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1d1d1b"/>
          <w:sz w:val="16"/>
          <w:szCs w:val="16"/>
          <w:rtl w:val="0"/>
        </w:rPr>
        <w:t xml:space="preserve">Тел. Екатеринбург :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+7(343)384-40-24</w:t>
      </w:r>
      <w:r w:rsidDel="00000000" w:rsidR="00000000" w:rsidRPr="00000000">
        <w:rPr>
          <w:rFonts w:ascii="Arial" w:cs="Arial" w:eastAsia="Arial" w:hAnsi="Arial"/>
          <w:color w:val="1d1d1b"/>
          <w:sz w:val="16"/>
          <w:szCs w:val="16"/>
          <w:rtl w:val="0"/>
        </w:rPr>
        <w:t xml:space="preserve"> ; e-mail: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opt@dushtorg.ru</w:t>
        </w:r>
      </w:hyperlink>
      <w:r w:rsidDel="00000000" w:rsidR="00000000" w:rsidRPr="00000000">
        <w:rPr>
          <w:rFonts w:ascii="Arial" w:cs="Arial" w:eastAsia="Arial" w:hAnsi="Arial"/>
          <w:color w:val="1d1d1b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rPr>
          <w:rFonts w:ascii="Arial" w:cs="Arial" w:eastAsia="Arial" w:hAnsi="Arial"/>
          <w:color w:val="1d1d1b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1d1d1b"/>
          <w:sz w:val="16"/>
          <w:szCs w:val="16"/>
          <w:rtl w:val="0"/>
        </w:rPr>
        <w:t xml:space="preserve">Тел. Краснодар :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+7(861)211-63-34</w:t>
      </w:r>
      <w:r w:rsidDel="00000000" w:rsidR="00000000" w:rsidRPr="00000000">
        <w:rPr>
          <w:rFonts w:ascii="Arial" w:cs="Arial" w:eastAsia="Arial" w:hAnsi="Arial"/>
          <w:color w:val="1d1d1b"/>
          <w:sz w:val="16"/>
          <w:szCs w:val="16"/>
          <w:rtl w:val="0"/>
        </w:rPr>
        <w:t xml:space="preserve"> ; e-mail: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krd@dushtorg.ru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rPr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YS Text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▪"/>
      <w:lvlJc w:val="left"/>
      <w:pPr>
        <w:ind w:left="644" w:hanging="359.99999999999994"/>
      </w:pPr>
      <w:rPr>
        <w:rFonts w:ascii="Noto Sans Symbols" w:cs="Noto Sans Symbols" w:eastAsia="Noto Sans Symbols" w:hAnsi="Noto Sans Symbols"/>
      </w:rPr>
    </w:lvl>
    <w:lvl w:ilvl="1">
      <w:start w:val="3"/>
      <w:numFmt w:val="bullet"/>
      <w:lvlText w:val="·"/>
      <w:lvlJc w:val="left"/>
      <w:pPr>
        <w:ind w:left="1650" w:hanging="57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Liberation Sans" w:cs="Liberation Sans" w:eastAsia="Liberation Sans" w:hAnsi="Liberation Sans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Liberation Sans" w:cs="Liberation Sans" w:eastAsia="Liberation Sans" w:hAnsi="Liberation Sans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Liberation Sans" w:cs="Liberation Sans" w:eastAsia="Liberation Sans" w:hAnsi="Liberation Sans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Liberation Sans" w:cs="Liberation Sans" w:eastAsia="Liberation Sans" w:hAnsi="Liberation Sans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Liberation Sans" w:cs="Liberation Sans" w:eastAsia="Liberation Sans" w:hAnsi="Liberation Sans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Liberation Sans" w:cs="Liberation Sans" w:eastAsia="Liberation Sans" w:hAnsi="Liberation Sans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opt@dushtorg.ru" TargetMode="External"/><Relationship Id="rId8" Type="http://schemas.openxmlformats.org/officeDocument/2006/relationships/hyperlink" Target="mailto:krd@dushtorg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