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687"/>
        <w:gridCol w:w="756"/>
        <w:gridCol w:w="757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113FE789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256E10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740B0C59" w:rsidR="00C90A2B" w:rsidRPr="000239F9" w:rsidRDefault="00062C35" w:rsidP="008A299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A299A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EE31CF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I_III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29EBB86F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Принцип действия весов основан на преобразовании деформации упругого элемента весоизмерительного тензорезисторного датчика (далее </w:t>
      </w:r>
      <w:r w:rsidR="00902169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5BA23AB3" w:rsidR="008A299A" w:rsidRPr="008A299A" w:rsidRDefault="008A299A" w:rsidP="004B157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346B770E" w14:textId="77777777" w:rsidR="0067722D" w:rsidRPr="008A299A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19C31D98" w14:textId="77777777" w:rsidR="0067722D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6D530AF6" w14:textId="77777777" w:rsidR="0067722D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48B78465" w14:textId="380EF5B4" w:rsidR="005E193C" w:rsidRPr="0067722D" w:rsidRDefault="0067722D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P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562DF840" w:rsidR="008370E8" w:rsidRP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 (для исполнения с встроенным аккумулятором)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5D7125C" w14:textId="65900454" w:rsidR="001857BE" w:rsidRDefault="001857BE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857BE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857BE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6D7405">
        <w:trPr>
          <w:tblHeader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6D7405">
        <w:trPr>
          <w:tblHeader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3607618A" w14:textId="77777777" w:rsidR="008A299A" w:rsidRPr="008A299A" w:rsidRDefault="008A299A" w:rsidP="001857BE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5675D0">
        <w:trPr>
          <w:trHeight w:val="20"/>
          <w:tblHeader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8A2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5675D0">
        <w:trPr>
          <w:trHeight w:val="20"/>
          <w:jc w:val="center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8A299A" w:rsidRPr="008A299A" w14:paraId="74710E14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1059B3FC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от элементов питания типа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AA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A299A" w:rsidRPr="008A299A" w14:paraId="4805933C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19421F98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от встроенного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8A299A" w:rsidRPr="008A299A" w14:paraId="611C37B2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8A299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73D733B5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0,5А</w:t>
            </w:r>
          </w:p>
        </w:tc>
      </w:tr>
      <w:tr w:rsidR="008A299A" w:rsidRPr="008A299A" w14:paraId="1C3C861A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8A299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65"/>
      </w:tblGrid>
      <w:tr w:rsidR="00C2189E" w14:paraId="36259792" w14:textId="77777777" w:rsidTr="00C2189E">
        <w:tc>
          <w:tcPr>
            <w:tcW w:w="5508" w:type="dxa"/>
          </w:tcPr>
          <w:p w14:paraId="3A052DE3" w14:textId="77777777" w:rsidR="00C2189E" w:rsidRDefault="00C2189E" w:rsidP="005675D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датчиком, грузоприемное устройство, состоящее из элементов верхнего и нижнего подвесов. Встроенных, либо выносных дисплея и клавиатуры, соединительных кабелей.</w:t>
            </w:r>
          </w:p>
          <w:p w14:paraId="0221C29F" w14:textId="52AEA1F2" w:rsidR="00C2189E" w:rsidRPr="005675D0" w:rsidRDefault="00C2189E" w:rsidP="006600D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 xml:space="preserve">Верхний элемент подвеса выполнен в виде серьги или траверсы с 0-образным кольцом, нижний элемент подвеса </w:t>
            </w:r>
            <w:r w:rsidR="006600D9">
              <w:rPr>
                <w:rFonts w:ascii="Times New Roman" w:hAnsi="Times New Roman"/>
                <w:sz w:val="16"/>
                <w:szCs w:val="16"/>
              </w:rPr>
              <w:t>–</w:t>
            </w:r>
            <w:r w:rsidRPr="005675D0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</w:tc>
        <w:tc>
          <w:tcPr>
            <w:tcW w:w="1965" w:type="dxa"/>
            <w:vAlign w:val="center"/>
          </w:tcPr>
          <w:p w14:paraId="350C5BAC" w14:textId="3D59169E" w:rsidR="00C2189E" w:rsidRDefault="006D7405" w:rsidP="00C218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C57129" wp14:editId="3A92E97E">
                  <wp:extent cx="837074" cy="1693676"/>
                  <wp:effectExtent l="0" t="0" r="1270" b="1905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45" cy="169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9E" w14:paraId="25CC2FF2" w14:textId="77777777" w:rsidTr="00C2189E">
        <w:tc>
          <w:tcPr>
            <w:tcW w:w="5508" w:type="dxa"/>
          </w:tcPr>
          <w:p w14:paraId="323BDFC7" w14:textId="5557480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0C975CB4" w14:textId="1072AE5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0B61D12" w14:textId="0B77AB0D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 xml:space="preserve"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 </w:t>
      </w:r>
    </w:p>
    <w:p w14:paraId="2D0873FA" w14:textId="1DFADB5B" w:rsidR="003210AA" w:rsidRPr="006A7AD0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lastRenderedPageBreak/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43F60D1D" w:rsidR="006D5396" w:rsidRPr="00D9358B" w:rsidRDefault="00B2118C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6D7405" w:rsidRPr="00D9358B" w14:paraId="1DEF7B92" w14:textId="77777777" w:rsidTr="00D9358B">
        <w:trPr>
          <w:jc w:val="center"/>
        </w:trPr>
        <w:tc>
          <w:tcPr>
            <w:tcW w:w="827" w:type="dxa"/>
            <w:vAlign w:val="center"/>
          </w:tcPr>
          <w:p w14:paraId="70414E11" w14:textId="2C3AB56C" w:rsidR="006D7405" w:rsidRPr="006D7405" w:rsidRDefault="006D7405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867" w:type="dxa"/>
            <w:vAlign w:val="center"/>
          </w:tcPr>
          <w:p w14:paraId="145CC948" w14:textId="4ABDD703" w:rsidR="006D7405" w:rsidRPr="006D7405" w:rsidRDefault="000740A2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Аккумулятор весов разряжен</w:t>
            </w:r>
          </w:p>
        </w:tc>
        <w:tc>
          <w:tcPr>
            <w:tcW w:w="720" w:type="dxa"/>
            <w:vAlign w:val="center"/>
          </w:tcPr>
          <w:p w14:paraId="46A2803C" w14:textId="0B80F396" w:rsidR="006D7405" w:rsidRPr="006D7405" w:rsidRDefault="006D7405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6D7405">
              <w:rPr>
                <w:b/>
                <w:bCs/>
                <w:sz w:val="16"/>
                <w:szCs w:val="16"/>
                <w:lang w:val="en-US"/>
              </w:rPr>
              <w:t>lb</w:t>
            </w:r>
          </w:p>
        </w:tc>
        <w:tc>
          <w:tcPr>
            <w:tcW w:w="3031" w:type="dxa"/>
            <w:vAlign w:val="center"/>
          </w:tcPr>
          <w:p w14:paraId="631E56A9" w14:textId="2818C701" w:rsidR="006D7405" w:rsidRPr="006D7405" w:rsidRDefault="006D7405" w:rsidP="00D9358B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В</w:t>
            </w:r>
            <w:r w:rsidR="000740A2">
              <w:rPr>
                <w:sz w:val="16"/>
                <w:szCs w:val="16"/>
              </w:rPr>
              <w:t>ключен режим отображения фунтов</w:t>
            </w:r>
          </w:p>
        </w:tc>
      </w:tr>
      <w:tr w:rsidR="006D7405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6EDB8772" w:rsidR="006D7405" w:rsidRPr="00D87EEE" w:rsidRDefault="000740A2" w:rsidP="00977BE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масса тары</w:t>
            </w:r>
          </w:p>
        </w:tc>
        <w:tc>
          <w:tcPr>
            <w:tcW w:w="720" w:type="dxa"/>
            <w:vAlign w:val="center"/>
          </w:tcPr>
          <w:p w14:paraId="79117FF9" w14:textId="2677A688" w:rsidR="006D7405" w:rsidRPr="00D87EEE" w:rsidRDefault="006D7405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87EEE">
              <w:rPr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3031" w:type="dxa"/>
            <w:vAlign w:val="center"/>
          </w:tcPr>
          <w:p w14:paraId="2F676520" w14:textId="1B806353" w:rsidR="006D7405" w:rsidRPr="00D87EEE" w:rsidRDefault="000740A2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стабилизации массы</w:t>
            </w:r>
          </w:p>
        </w:tc>
      </w:tr>
    </w:tbl>
    <w:p w14:paraId="4C0C7C95" w14:textId="74C879C7" w:rsidR="00D9358B" w:rsidRPr="00D9358B" w:rsidRDefault="00D9358B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6D7405" w14:paraId="49770FCF" w14:textId="77777777" w:rsidTr="006D7405">
        <w:trPr>
          <w:jc w:val="center"/>
        </w:trPr>
        <w:tc>
          <w:tcPr>
            <w:tcW w:w="827" w:type="dxa"/>
            <w:vAlign w:val="center"/>
          </w:tcPr>
          <w:p w14:paraId="389B6E41" w14:textId="77777777" w:rsidR="006D7405" w:rsidRPr="006D7405" w:rsidRDefault="00062C35" w:rsidP="006D7405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7DBF8D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 style="width:9.55pt;height:9.55pt;visibility:visible;mso-wrap-style:square">
                  <v:imagedata r:id="rId12" o:title="Значок Вкл"/>
                </v:shape>
              </w:pict>
            </w:r>
          </w:p>
          <w:p w14:paraId="45F4642C" w14:textId="3DE17387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33BC22C9" w14:textId="430715D5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</w:t>
            </w:r>
            <w:r w:rsidR="000740A2">
              <w:rPr>
                <w:sz w:val="16"/>
                <w:szCs w:val="16"/>
              </w:rPr>
              <w:t>тие: включение/выключение весов</w:t>
            </w:r>
          </w:p>
          <w:p w14:paraId="4BB3BD6E" w14:textId="282B270C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Кратковр</w:t>
            </w:r>
            <w:r w:rsidR="000740A2">
              <w:rPr>
                <w:sz w:val="16"/>
                <w:szCs w:val="16"/>
              </w:rPr>
              <w:t>еменное нажатие: установка нуля</w:t>
            </w:r>
          </w:p>
        </w:tc>
      </w:tr>
      <w:tr w:rsidR="006D7405" w14:paraId="53BDC7D2" w14:textId="77777777" w:rsidTr="006D7405">
        <w:trPr>
          <w:jc w:val="center"/>
        </w:trPr>
        <w:tc>
          <w:tcPr>
            <w:tcW w:w="827" w:type="dxa"/>
            <w:vAlign w:val="center"/>
          </w:tcPr>
          <w:p w14:paraId="77A652C9" w14:textId="09AEABC5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8327BA2" w14:textId="1A4A3F1F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Вввод</w:t>
            </w:r>
            <w:r w:rsidR="000740A2">
              <w:rPr>
                <w:sz w:val="16"/>
                <w:szCs w:val="16"/>
              </w:rPr>
              <w:t xml:space="preserve"> массы тары</w:t>
            </w:r>
          </w:p>
        </w:tc>
      </w:tr>
      <w:tr w:rsidR="006D7405" w14:paraId="0B82BF76" w14:textId="77777777" w:rsidTr="006D7405">
        <w:trPr>
          <w:trHeight w:val="56"/>
          <w:jc w:val="center"/>
        </w:trPr>
        <w:tc>
          <w:tcPr>
            <w:tcW w:w="827" w:type="dxa"/>
            <w:vAlign w:val="center"/>
          </w:tcPr>
          <w:p w14:paraId="32A7B88E" w14:textId="5926E9D3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ЕД</w:t>
            </w:r>
          </w:p>
        </w:tc>
        <w:tc>
          <w:tcPr>
            <w:tcW w:w="6618" w:type="dxa"/>
            <w:vAlign w:val="center"/>
          </w:tcPr>
          <w:p w14:paraId="63BAACC4" w14:textId="78603E52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Переключ</w:t>
            </w:r>
            <w:r w:rsidR="000740A2">
              <w:rPr>
                <w:sz w:val="16"/>
                <w:szCs w:val="16"/>
              </w:rPr>
              <w:t>ение единиц измерений кг./фунты</w:t>
            </w:r>
          </w:p>
        </w:tc>
      </w:tr>
    </w:tbl>
    <w:bookmarkEnd w:id="1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8F71AC0" w14:textId="4550DCAF" w:rsidR="0039212C" w:rsidRPr="0039212C" w:rsidRDefault="0039212C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50CBD93E" w:rsidR="0039212C" w:rsidRPr="0039212C" w:rsidRDefault="0039212C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весов в процентах «PbtXY», где XY </w:t>
      </w:r>
      <w:r w:rsidR="00902169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1BB2115E" w:rsidR="00BA5570" w:rsidRPr="006A7AD0" w:rsidRDefault="00F5322E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07349400" w14:textId="285AE666" w:rsidR="009107B2" w:rsidRP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3A99B4B4" w14:textId="0BC3C01B" w:rsidR="009107B2" w:rsidRPr="009107B2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[ЕД]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EE31CF" w:rsidRPr="00EE31CF">
        <w:t xml:space="preserve"> </w:t>
      </w:r>
      <w:r w:rsidR="00EE31CF"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Произойдет переключение с килограммов на фунты или наоборот. При отображении фунтов индикатор «lb» должен гореть, а при отображении килограмм выключен.</w:t>
      </w:r>
    </w:p>
    <w:p w14:paraId="32186CC1" w14:textId="30F5CB0D" w:rsid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2AAF9CE2" w:rsidR="006D7405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бразится остаточная емкость аккумулятора вес</w:t>
      </w:r>
      <w:r w:rsidR="00902169">
        <w:rPr>
          <w:rFonts w:ascii="Times New Roman" w:eastAsia="Times New Roman" w:hAnsi="Times New Roman"/>
          <w:bCs/>
          <w:sz w:val="16"/>
          <w:szCs w:val="16"/>
          <w:lang w:eastAsia="ru-RU"/>
        </w:rPr>
        <w:t>ов в процентах «PbtXY», где XY 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07B6D97" w14:textId="7CBC2E81" w:rsidR="001857BE" w:rsidRDefault="001857BE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br w:type="page"/>
      </w:r>
    </w:p>
    <w:p w14:paraId="1C4D004A" w14:textId="77777777" w:rsidR="001E399A" w:rsidRPr="006A7AD0" w:rsidRDefault="001E399A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МЕРЫ ПРЕДОСТОРОЖНОСТИ И РЕКОМЕНДАЦИИ</w:t>
      </w:r>
    </w:p>
    <w:p w14:paraId="0431D1E0" w14:textId="2576772B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BA1C4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5A6D0F83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</w:t>
      </w:r>
      <w:r w:rsidR="00902169">
        <w:rPr>
          <w:rFonts w:ascii="Times New Roman" w:hAnsi="Times New Roman"/>
          <w:sz w:val="16"/>
          <w:szCs w:val="16"/>
        </w:rPr>
        <w:t>группе 5 (ОЖ4) по ГОСТ 15150-69.</w:t>
      </w:r>
    </w:p>
    <w:p w14:paraId="5BDB6B1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027B9229" w14:textId="77777777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</w:p>
    <w:p w14:paraId="59A2DF12" w14:textId="77777777" w:rsidR="00C872E0" w:rsidRPr="006A7AD0" w:rsidRDefault="00C872E0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5854ADE0" w14:textId="02933D49" w:rsidR="00F120BA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E-mail: info@mechelectron.ru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74414E81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Калибровка 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1BCF9644" w:rsidR="001260B8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60AB60CA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155A34B6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2B697F8A" w14:textId="77777777" w:rsidR="00675F63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4B83DE15" w14:textId="1890AEC0" w:rsidR="006600D9" w:rsidRDefault="006600D9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4A801731" w:rsidR="008900B3" w:rsidRPr="006A7AD0" w:rsidRDefault="00902169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4E8C8E8C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00C9B9FA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35DC3D55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6A571F5" w:rsidR="008900B3" w:rsidRPr="006A7AD0" w:rsidRDefault="00902169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3921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5B79037D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256E10">
        <w:rPr>
          <w:rFonts w:ascii="Times New Roman" w:hAnsi="Times New Roman"/>
          <w:bCs/>
          <w:sz w:val="16"/>
          <w:szCs w:val="16"/>
        </w:rPr>
        <w:t>крановые</w:t>
      </w:r>
      <w:r w:rsidR="00256E10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64D1303B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2" w:name="_GoBack"/>
      <w:bookmarkEnd w:id="2"/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0A925D45" w14:textId="77777777" w:rsidR="000F58AB" w:rsidRDefault="000F58AB" w:rsidP="000F58AB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2C10CA8D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1B375CB1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35EBA122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0F58AB" w14:paraId="01C0750B" w14:textId="77777777" w:rsidTr="000F58AB">
        <w:trPr>
          <w:trHeight w:val="1339"/>
        </w:trPr>
        <w:tc>
          <w:tcPr>
            <w:tcW w:w="4680" w:type="dxa"/>
            <w:vAlign w:val="center"/>
            <w:hideMark/>
          </w:tcPr>
          <w:p w14:paraId="2B915CFC" w14:textId="77777777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02A8FBE7" w14:textId="77777777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27D483EB" w14:textId="77777777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ED58E4A" w14:textId="6A71D8C9" w:rsidR="000F58AB" w:rsidRDefault="000F58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3B860C" wp14:editId="7782A7F2">
                  <wp:extent cx="847725" cy="847725"/>
                  <wp:effectExtent l="0" t="0" r="9525" b="9525"/>
                  <wp:docPr id="3" name="Рисунок 3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0F58AB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39212C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39212C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39212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73A78A0" w14:textId="4E37F44F" w:rsidR="00672B3A" w:rsidRPr="00062C35" w:rsidRDefault="00C25A42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062C35"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062C35"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E0AA" w14:textId="77777777" w:rsidR="006A480F" w:rsidRDefault="006A480F" w:rsidP="00990C44">
      <w:pPr>
        <w:spacing w:after="0" w:line="240" w:lineRule="auto"/>
      </w:pPr>
      <w:r>
        <w:separator/>
      </w:r>
    </w:p>
  </w:endnote>
  <w:endnote w:type="continuationSeparator" w:id="0">
    <w:p w14:paraId="102FCB6E" w14:textId="77777777" w:rsidR="006A480F" w:rsidRDefault="006A480F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6D7405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373E608D" w:rsidR="006D7405" w:rsidRDefault="006D7405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062C35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6D7405" w:rsidRDefault="006D7405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6D7405" w:rsidRPr="006C4DCA" w:rsidRDefault="00062C35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6D7405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6D7405" w:rsidRDefault="006D740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0FC666CF" w:rsidR="006D7405" w:rsidRPr="009F3DB3" w:rsidRDefault="006D740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062C35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6D7405" w:rsidRPr="00FF5A32" w:rsidRDefault="006D7405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FA4F" w14:textId="77777777" w:rsidR="006A480F" w:rsidRDefault="006A480F" w:rsidP="00990C44">
      <w:pPr>
        <w:spacing w:after="0" w:line="240" w:lineRule="auto"/>
      </w:pPr>
      <w:r>
        <w:separator/>
      </w:r>
    </w:p>
  </w:footnote>
  <w:footnote w:type="continuationSeparator" w:id="0">
    <w:p w14:paraId="55CF5E97" w14:textId="77777777" w:rsidR="006A480F" w:rsidRDefault="006A480F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6D7405" w:rsidRDefault="006D7405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2C35"/>
    <w:rsid w:val="0006483E"/>
    <w:rsid w:val="000740A2"/>
    <w:rsid w:val="0007469E"/>
    <w:rsid w:val="00074865"/>
    <w:rsid w:val="00075693"/>
    <w:rsid w:val="00081488"/>
    <w:rsid w:val="00086589"/>
    <w:rsid w:val="0009076A"/>
    <w:rsid w:val="00091FCB"/>
    <w:rsid w:val="000B4CD6"/>
    <w:rsid w:val="000D41D6"/>
    <w:rsid w:val="000D575B"/>
    <w:rsid w:val="000D673A"/>
    <w:rsid w:val="000D70AA"/>
    <w:rsid w:val="000E07E1"/>
    <w:rsid w:val="000E1E37"/>
    <w:rsid w:val="000E5ECA"/>
    <w:rsid w:val="000E6EC7"/>
    <w:rsid w:val="000F58AB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48C7"/>
    <w:rsid w:val="001628BD"/>
    <w:rsid w:val="00167CE6"/>
    <w:rsid w:val="001720E5"/>
    <w:rsid w:val="001817CF"/>
    <w:rsid w:val="001839F9"/>
    <w:rsid w:val="00183EA7"/>
    <w:rsid w:val="001857BE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56E10"/>
    <w:rsid w:val="00271BA7"/>
    <w:rsid w:val="0027499F"/>
    <w:rsid w:val="00283D94"/>
    <w:rsid w:val="0029277E"/>
    <w:rsid w:val="00294E53"/>
    <w:rsid w:val="00294EFD"/>
    <w:rsid w:val="002A3533"/>
    <w:rsid w:val="002A4DFC"/>
    <w:rsid w:val="002C32D1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93E85"/>
    <w:rsid w:val="0059689B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35E6"/>
    <w:rsid w:val="006641D0"/>
    <w:rsid w:val="00672B3A"/>
    <w:rsid w:val="00672F3F"/>
    <w:rsid w:val="00675F63"/>
    <w:rsid w:val="0067722D"/>
    <w:rsid w:val="00682A5A"/>
    <w:rsid w:val="00682AAE"/>
    <w:rsid w:val="0068624F"/>
    <w:rsid w:val="006A480F"/>
    <w:rsid w:val="006A7AD0"/>
    <w:rsid w:val="006A7CFC"/>
    <w:rsid w:val="006B363A"/>
    <w:rsid w:val="006C4DCA"/>
    <w:rsid w:val="006C7E40"/>
    <w:rsid w:val="006D5396"/>
    <w:rsid w:val="006D7405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38E3"/>
    <w:rsid w:val="00725501"/>
    <w:rsid w:val="007279CC"/>
    <w:rsid w:val="00731B85"/>
    <w:rsid w:val="007331DA"/>
    <w:rsid w:val="007339A6"/>
    <w:rsid w:val="00737774"/>
    <w:rsid w:val="00741548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353C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27B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370E8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0C75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2169"/>
    <w:rsid w:val="00905623"/>
    <w:rsid w:val="00906FD0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90C44"/>
    <w:rsid w:val="0099566F"/>
    <w:rsid w:val="009A13D0"/>
    <w:rsid w:val="009A15B1"/>
    <w:rsid w:val="009A53E3"/>
    <w:rsid w:val="009B4BA9"/>
    <w:rsid w:val="009D1F88"/>
    <w:rsid w:val="009E11BC"/>
    <w:rsid w:val="009E3099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1918"/>
    <w:rsid w:val="00A463B8"/>
    <w:rsid w:val="00A46CC2"/>
    <w:rsid w:val="00A47221"/>
    <w:rsid w:val="00A66784"/>
    <w:rsid w:val="00A713D2"/>
    <w:rsid w:val="00A80494"/>
    <w:rsid w:val="00A8072E"/>
    <w:rsid w:val="00A82D02"/>
    <w:rsid w:val="00A8375C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6B21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25A42"/>
    <w:rsid w:val="00C33E77"/>
    <w:rsid w:val="00C355B9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87EEE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DF648B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72B19"/>
    <w:rsid w:val="00F80D77"/>
    <w:rsid w:val="00F82511"/>
    <w:rsid w:val="00FB09B8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C6B83E83-C02B-43A7-89EE-ED94F68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7405-E48E-4107-A5EA-D8412F6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42</cp:revision>
  <cp:lastPrinted>2018-10-29T14:39:00Z</cp:lastPrinted>
  <dcterms:created xsi:type="dcterms:W3CDTF">2023-03-14T10:15:00Z</dcterms:created>
  <dcterms:modified xsi:type="dcterms:W3CDTF">2025-05-29T09:32:00Z</dcterms:modified>
</cp:coreProperties>
</file>