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20B9" w14:textId="3308EB13" w:rsidR="005A2BEC" w:rsidRPr="00D775F1" w:rsidRDefault="00D775F1" w:rsidP="00D775F1">
      <w:r>
        <w:rPr>
          <w:rFonts w:ascii="Roboto" w:hAnsi="Roboto"/>
          <w:color w:val="000000"/>
          <w:shd w:val="clear" w:color="auto" w:fill="FFFFFF"/>
        </w:rPr>
        <w:t xml:space="preserve">Наносить на сухие и чистые поверхности. </w:t>
      </w:r>
      <w:proofErr w:type="spellStart"/>
      <w:r>
        <w:rPr>
          <w:rFonts w:ascii="Roboto" w:hAnsi="Roboto"/>
          <w:color w:val="000000"/>
          <w:shd w:val="clear" w:color="auto" w:fill="FFFFFF"/>
        </w:rPr>
        <w:t>Слабодержащиеся</w:t>
      </w:r>
      <w:proofErr w:type="spellEnd"/>
      <w:r>
        <w:rPr>
          <w:rFonts w:ascii="Roboto" w:hAnsi="Roboto"/>
          <w:color w:val="000000"/>
          <w:shd w:val="clear" w:color="auto" w:fill="FFFFFF"/>
        </w:rPr>
        <w:t xml:space="preserve"> старые основания удалить. Ранее окрашенные поверхности обработать стабилизирующей пропиткой «Радуга-28». Глянцевые покрытия отшлифовать до матового состояния. Пыль удалить. Бетон, кирпич, штукатурку, шпатлёвку, ГВЛ, ГКЛ обработать укрепляющей  «Радуга-27», проникающей «Радуга-017» или стабилизирующей  «Радуга-28»  пропитками. Дерево, ДВП, ДСП, МДФ, фанеру обработать грунтом для дерева  «Радуга-25». Для получения более качественного покрытия рекомендуется после грунтования поверхность отшлифовать, но не ранее, чем через 1 час. Трещины и сколы зашпатлевать шпатлевкой для дерева  «Радуга-0023». Металлические поверхности обработать грунтом для металла «Радуга-0150». Перед применением эмаль тщательно перемешать. При необходимости разбавить водой не более 5%. Наносить кистью, валиком, краскопультом при температуре поверхности, эмали и окружающего воздуха не ниже +15°С. Эмаль наносить несколькими слоями до достижения необходимого качества покрытия. Нанесение каждого последующего слоя через 1-2 часа. Наружные работы проводить в сухую, тёплую и безветренную погоду. Во время окраски и сушки избегать попадания прямых солнечных лучей. Все заявленные параметры стойкости эмали достигаются после 7 суток с момента высыхания покрытия. Избегать эксплуатации изделий в первые сутки после окрашивания. Не смешивать с продуктами на основе растворителей. Очистка инструмента: Сразу после использования удалить остатки эмали, вымыть инструмент тёплой водой и высушить.</w:t>
      </w:r>
    </w:p>
    <w:sectPr w:rsidR="005A2BEC" w:rsidRPr="00D7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4A299A"/>
    <w:rsid w:val="004C64DA"/>
    <w:rsid w:val="005A2BEC"/>
    <w:rsid w:val="005A33D5"/>
    <w:rsid w:val="00682EDF"/>
    <w:rsid w:val="00895850"/>
    <w:rsid w:val="00B1231A"/>
    <w:rsid w:val="00B14CC4"/>
    <w:rsid w:val="00D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21</cp:revision>
  <dcterms:created xsi:type="dcterms:W3CDTF">2020-08-27T08:17:00Z</dcterms:created>
  <dcterms:modified xsi:type="dcterms:W3CDTF">2021-09-07T05:10:00Z</dcterms:modified>
</cp:coreProperties>
</file>