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965" w:dyaOrig="1728">
          <v:rect xmlns:o="urn:schemas-microsoft-com:office:office" xmlns:v="urn:schemas-microsoft-com:vml" id="rectole0000000000" style="width:348.250000pt;height:8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ПАСПОРТ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СВЕТОДИОДНЫЕ СВЕТИЛЬНИКИ СЕРИИ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МИККО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846" w:dyaOrig="846">
          <v:rect xmlns:o="urn:schemas-microsoft-com:office:office" xmlns:v="urn:schemas-microsoft-com:vml" id="rectole0000000001" style="width:42.300000pt;height:42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ПАСПОРТ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Светодиодные светильники серии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МИККО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567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Введение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Настоящий документ является паспортом изделия и содержит в себе основные сведения о светильниках серии "МИККО" и их работе, правила установки, эксплуатации и обслуживания, транспортировки, хранения и утилизации светильников.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Перед началом работы со светильником необходимо ознакомиться с информацией, изложенной в данном документе, поскольку несоблюдение рекомендаций может привести к потере работоспособности светильника и к утрате гарантийных обязательств.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Основные сведения о светильнике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Стационарный светодиодный светильник общего назначения серии "МИККО" предназначен для общего освещения  офисных, общественных, торговых, административных, бытовых, жилых, вспомогательных и прочих помещений.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 качестве источников света в светильниках применяются светодиоды (полупроводниковые источники света) белого цвета излучения с различной цветовой температурой (теплый белый или белый цвет свечения).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используются как подвесные и накладные.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изготавливаются в исполнении УХЛ. Категория размещения 4  согласно ГОСТ 15150-69 с диапазоном рабочих температур от +1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°C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до +40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°C.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соответствуют классу защиты от поражения электрическим током I согласно ГОСТ Р МЭК 60598-1-2003.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имеют степень защиты от внешних воздействий IP 40 согласно ГОСТ 14254-96.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относятся к группе М1 в отношении стойкости к допустимым механическим воздействиям согласно ГОСТ 17516.1-90. Запрещается эксплуатация светильника на открытом воздухе в условиях повышенной влажности и в помещениях с повышенной влажностью (выше 80%), при температуре воздуха ниже +1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°C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или выше +40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°C.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Основные технические характеристики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Основные технические характеристики и параметры светильника приведены ниже: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200" w:line="276"/>
        <w:ind w:right="0" w:left="1224" w:hanging="504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бщие параметры:</w:t>
      </w:r>
    </w:p>
    <w:tbl>
      <w:tblPr>
        <w:tblInd w:w="93" w:type="dxa"/>
      </w:tblPr>
      <w:tblGrid>
        <w:gridCol w:w="5840"/>
        <w:gridCol w:w="3220"/>
      </w:tblGrid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Напряжение питания, В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176-260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Частота, Гц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50-60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Коэффициент мощности источника питания, cos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φ)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18"/>
                <w:shd w:fill="auto" w:val="clear"/>
              </w:rPr>
              <w:t xml:space="preserve">≥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0,95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Коэффициент пульсации светового потока, %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18"/>
                <w:shd w:fill="auto" w:val="clear"/>
              </w:rPr>
              <w:t xml:space="preserve">≤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0,75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Индекс цветопередачи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18"/>
                <w:shd w:fill="auto" w:val="clear"/>
              </w:rPr>
              <w:t xml:space="preserve">≥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80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Цветовая температура, К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3 000/4 000/5 500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Тип рассеивающего элемента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Опал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Призматический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Микропризматический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Колотый лед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Материал  рассеивающего элемента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Полистирол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Ресурс светодиодов, час.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50 000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Срок службы светильников, лет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300" w:hRule="auto"/>
          <w:jc w:val="left"/>
        </w:trPr>
        <w:tc>
          <w:tcPr>
            <w:tcW w:w="5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Индекс пылевлагозащищенности, IP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IP40</w:t>
            </w:r>
          </w:p>
        </w:tc>
      </w:tr>
    </w:tbl>
    <w:p>
      <w:pPr>
        <w:tabs>
          <w:tab w:val="left" w:pos="1134" w:leader="none"/>
        </w:tabs>
        <w:spacing w:before="0" w:after="200" w:line="276"/>
        <w:ind w:right="0" w:left="9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134" w:leader="none"/>
        </w:tabs>
        <w:spacing w:before="0" w:after="200" w:line="276"/>
        <w:ind w:right="0" w:left="9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134" w:leader="none"/>
        </w:tabs>
        <w:spacing w:before="0" w:after="200" w:line="276"/>
        <w:ind w:right="0" w:left="9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134" w:leader="none"/>
        </w:tabs>
        <w:spacing w:before="0" w:after="200" w:line="276"/>
        <w:ind w:right="0" w:left="9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60"/>
        </w:numPr>
        <w:tabs>
          <w:tab w:val="left" w:pos="1134" w:leader="none"/>
        </w:tabs>
        <w:spacing w:before="0" w:after="200" w:line="276"/>
        <w:ind w:right="0" w:left="1224" w:hanging="504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Характеристики продукции:</w:t>
      </w:r>
    </w:p>
    <w:tbl>
      <w:tblPr>
        <w:tblInd w:w="93" w:type="dxa"/>
      </w:tblPr>
      <w:tblGrid>
        <w:gridCol w:w="3276"/>
        <w:gridCol w:w="1134"/>
        <w:gridCol w:w="1275"/>
        <w:gridCol w:w="1560"/>
        <w:gridCol w:w="850"/>
        <w:gridCol w:w="993"/>
      </w:tblGrid>
      <w:tr>
        <w:trPr>
          <w:trHeight w:val="480" w:hRule="auto"/>
          <w:jc w:val="left"/>
        </w:trPr>
        <w:tc>
          <w:tcPr>
            <w:tcW w:w="3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Наименование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Мощность, Вт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2" w:left="-108" w:firstLine="0"/>
              <w:jc w:val="center"/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Световой поток,</w:t>
            </w:r>
          </w:p>
          <w:p>
            <w:pPr>
              <w:spacing w:before="0" w:after="0" w:line="240"/>
              <w:ind w:right="-102" w:left="-10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Лм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5" w:left="-108" w:firstLine="0"/>
              <w:jc w:val="center"/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Габаритные размеры,</w:t>
            </w:r>
          </w:p>
          <w:p>
            <w:pPr>
              <w:spacing w:before="0" w:after="0" w:line="240"/>
              <w:ind w:right="-115" w:left="-10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мм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5" w:left="-101" w:firstLine="0"/>
              <w:jc w:val="center"/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Вес не более,</w:t>
            </w:r>
          </w:p>
          <w:p>
            <w:pPr>
              <w:spacing w:before="0" w:after="0" w:line="240"/>
              <w:ind w:right="-115" w:left="-10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кг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8" w:left="-1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Время работы БАП, ч.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ЛОНГ  27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3  105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1 500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ЛОНГ  55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6 325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1 500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НОРМИ 40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4 600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НОРМИ 35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4 025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1 000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ШОТ 18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2 070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ЭНГЛ 35Вт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4 025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ЛОНГ  27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3 105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1 500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ЛОНГ  55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6 325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1 500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НОРМИ 40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4 600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НОРМИ 35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4 025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ШОТ 18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2 070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ЭНГЛ 35Вт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ЛОНГ  27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3 105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1 500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ЛОНГ  55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6 325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1 500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НОРМИ 40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4 600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НОРМИ 35 Вт (аварийный)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4 025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ШОТ 18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2 070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 х 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ЭНГЛ 35Вт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УЛЬТРА 35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F3F3F"/>
                <w:spacing w:val="0"/>
                <w:position w:val="0"/>
                <w:sz w:val="21"/>
                <w:shd w:fill="F3F3F3" w:val="clear"/>
              </w:rPr>
              <w:t xml:space="preserve">2000x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F3F3F"/>
                <w:spacing w:val="0"/>
                <w:position w:val="0"/>
                <w:sz w:val="21"/>
                <w:shd w:fill="F3F3F3" w:val="clear"/>
              </w:rPr>
              <w:t xml:space="preserve">4,2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МИККО УЛЬТРА 70 вт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8050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F3F3F"/>
                <w:spacing w:val="0"/>
                <w:position w:val="0"/>
                <w:sz w:val="21"/>
                <w:shd w:fill="F3F3F3" w:val="clear"/>
              </w:rPr>
              <w:t xml:space="preserve">2000x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х50х70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F3F3F"/>
                <w:spacing w:val="0"/>
                <w:position w:val="0"/>
                <w:sz w:val="21"/>
                <w:shd w:fill="F3F3F3" w:val="clear"/>
              </w:rPr>
              <w:t xml:space="preserve">4,2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3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36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Комплектность светильников</w:t>
      </w:r>
    </w:p>
    <w:p>
      <w:pPr>
        <w:numPr>
          <w:ilvl w:val="0"/>
          <w:numId w:val="136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 комплект поставки входят: </w:t>
      </w:r>
    </w:p>
    <w:p>
      <w:pPr>
        <w:tabs>
          <w:tab w:val="left" w:pos="1134" w:leader="none"/>
        </w:tabs>
        <w:spacing w:before="0" w:after="0" w:line="240"/>
        <w:ind w:right="0" w:left="122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 серии "МИККО" в сборе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шт.</w:t>
      </w:r>
    </w:p>
    <w:p>
      <w:pPr>
        <w:tabs>
          <w:tab w:val="left" w:pos="1134" w:leader="none"/>
        </w:tabs>
        <w:spacing w:before="0" w:after="0" w:line="240"/>
        <w:ind w:right="0" w:left="122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Упаковка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 в картонной коробке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шт.</w:t>
      </w:r>
    </w:p>
    <w:p>
      <w:pPr>
        <w:tabs>
          <w:tab w:val="left" w:pos="1134" w:leader="none"/>
        </w:tabs>
        <w:spacing w:before="0" w:after="0" w:line="240"/>
        <w:ind w:right="0" w:left="122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Паспорт изделия (по требованию заказчика)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шт.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Требования по технике безопасности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по требованиям безопасности соответствуют ГОСТ Р МЭК 60598-1-2011 и ГОСТ Р МЭК 60598-2-2-99.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Монтаж, устранение неисправностей, чистку, техническое обслуживание и прочие работы со светильниками необходимо проводить исключительно при отключенном питании. Запрещается проведение любых работ со светильниками, находящимися под напряжением.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Не допускается эксплуатация светильников с поврежденной изоляцией проводов и мест электрических соединений.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Запрещается включение светильников в электрическую сеть с параметрами, отличающимися от указанных в настоящем паспорте. Запрещается использовать светильник с диммирующими устройствами.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Эксплуатация светильника со снятым рассеивающим элементом запрещена.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 процессе эксплуатации светильников следует соблюдать и иные правила техники безопасности при работе с электроустановками.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Подготовка светильника к эксплуатации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 процессе подготовки светильника к эксплуатации следует распаковать светильник и проверить его комплектность и внешний вид. Следует убедиться в его целостности: светильник визуально должен быть без повреждений.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 состав изделия входит источник питания, преобразующий переменное напряжение от сети питания 220В в пониженное напряжение постоянного тока для питания светодиодов светильника.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Для подключения питания необходимо подключить кабель питания 220В к клеммной колодке светильника в соответствии с маркировкой на клеммной колодке.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Варианты установки светильника: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1224" w:hanging="50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 используется для подвесного монтажа.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Подключение кабелей питания необходимо производить только при отключенном питающем напряжении.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 является готовым к эксплуатации после подключения питания к светильнику и его установке согласно способам, описанным выше. Допускается включать питание только готового к эксплуатации светильника.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Эксплуатационное обслуживание светильника заключается в его чистке от загрязнений путем протирания его внешней светорассеивающей поверхности влажной мягкой тканью. Обработку поверхности рекомендуется проводить не реже, чем раз в три месяца, по необходимости.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 случае возникновения неисправностей необходимо сразу отключить светильник от питающей сети. Для консультации по типу неисправности необходимо связываться со специалистами компании-продавца или производителя светильников.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Запрещается самостоятельно производить ремонт или модификацию светильников.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Сведения об утилизации светильника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не содержат дорогостоящих или токсичных материалов и комплектующих деталей, требующих специальной утилизации. По истечении срока службы утилизацию светильников необходимо проводить обычным способом как бытовые отходы.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Правила хранения и транспортировки светильника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Светильники поставляются в индивидуальной упаковке. Несколько светильников могут быть упакованы в коробку из картона.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Упакованные светильники должны храниться в сухих закрытых помещениях при отсутствии в воздухе кислотных, щелочных и других вредных примесей. Светильники подлежат хранению при температуре от -30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°C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до +50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°C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и относительной влажности не более 95%.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Высота штабелирования не должна превышать 1 м.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Транспортировка светильников в упакованном виде может осуществляться автомобильным, железнодорожным, воздушным и водным транспортом. Светильники должны транспортироваться закрытым видом транспорта.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 содержит хрупкие части. При перевозке, погрузке и выгрузке светильников должны соблюдаться меры предосторожности от механических повреждений.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Гарантийные условия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При соблюдении потребителем правил транспортировки, хранения, установки, эксплуатации и обслуживания светильников производитель гарантирует нормальную бесперебойную работу светильников в течение 60 месяцев с даты приемки светильников покупателем.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За неправильную транспортировку, хранение, установку, эксплуатацию или обслуживание светильников, предприятие-производитель ответственности не несет. Претензии потребителей по дефектам, возникшим в течение гарантийного срока вследствие нарушения указанных выше правил, не принимаются.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 случае обнаружения неисправности и/или выхода из строя светильников до истечения гарантийного срока не по вине покупателя, следует обратиться в компанию, осуществившую продажу светильников, в сервисный центр по ремонту светильников и/или к предприятию-производителю.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Бесплатный ремонт или замена светильника в случае неисправности в течение гарантийного срока производится производителем или его представителем при условии соблюдения потребителем правил транспортировки, хранения, установки, эксплуатации и обслуживания светильников.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Гарантийное обслуживание предоставляется при наличии счета фактуры с гарантийным талоном или данным паспортом, заполненным надлежащим образом, либо при наличии кассового чека с гарантийным талоном или данным паспортом, заполненным надлежащим образом.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Гарантия считается недействительной в следующих случаях:</w:t>
      </w:r>
    </w:p>
    <w:p>
      <w:pPr>
        <w:numPr>
          <w:ilvl w:val="0"/>
          <w:numId w:val="139"/>
        </w:numPr>
        <w:tabs>
          <w:tab w:val="left" w:pos="1276" w:leader="none"/>
        </w:tabs>
        <w:spacing w:before="0" w:after="0" w:line="240"/>
        <w:ind w:right="0" w:left="1224" w:hanging="50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Изделие имеет следы вскрытия, неквалифицированного ремонта или внесения несогласованных конструктивных изменений.</w:t>
      </w:r>
    </w:p>
    <w:p>
      <w:pPr>
        <w:numPr>
          <w:ilvl w:val="0"/>
          <w:numId w:val="139"/>
        </w:numPr>
        <w:tabs>
          <w:tab w:val="left" w:pos="1276" w:leader="none"/>
        </w:tabs>
        <w:spacing w:before="0" w:after="0" w:line="240"/>
        <w:ind w:right="0" w:left="1224" w:hanging="50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Недостатки изделия возникли вследствие нарушения потребителем правил транспортировки, хранения, установки, эксплуатации или обслуживания, либо вследствие небрежности покупателя.</w:t>
      </w:r>
    </w:p>
    <w:p>
      <w:pPr>
        <w:numPr>
          <w:ilvl w:val="0"/>
          <w:numId w:val="139"/>
        </w:numPr>
        <w:tabs>
          <w:tab w:val="left" w:pos="1276" w:leader="none"/>
        </w:tabs>
        <w:spacing w:before="0" w:after="0" w:line="240"/>
        <w:ind w:right="0" w:left="1224" w:hanging="50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Недостатки изделия были вызваны независящими от производителя причинами, такими как чрезмерный перепад напряжения в питающей сети, обстоятельства форс-мажора и т.д.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Сертификация и утилизация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Все светильники серии "МИККО" сертифицированы и соответствует требованиям TP ТС 004/2011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О безопасности низковольтного оборудования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», TP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ТС 020/2011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Электромагнитная совместимость технических средств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Все светильники серии "МИККО" изготавливаются в соответствии с ТУ 3461-001-52426843-2016.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Свидетельство о приемке и гарантийный талон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Светильник серии "МИККО" признан годным к эксплуатации и сертифицирован на безопасность.</w:t>
      </w:r>
    </w:p>
    <w:p>
      <w:pPr>
        <w:numPr>
          <w:ilvl w:val="0"/>
          <w:numId w:val="139"/>
        </w:numPr>
        <w:tabs>
          <w:tab w:val="left" w:pos="1134" w:leader="none"/>
        </w:tabs>
        <w:spacing w:before="0" w:after="0" w:line="24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Гарантийный талон на светильник: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Дата изготовления светильника: [____________________]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Контролер:  </w:t>
        <w:tab/>
        <w:tab/>
        <w:t xml:space="preserve">                        [____________________]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Дата продажи светильника: ___________________________________________________________________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Модель светильника:  ________________________________________________________________________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Печать и подпись продавца: ___________________________________________________________________</w:t>
      </w:r>
    </w:p>
    <w:p>
      <w:pPr>
        <w:tabs>
          <w:tab w:val="left" w:pos="1134" w:leader="none"/>
        </w:tabs>
        <w:spacing w:before="0" w:after="0" w:line="24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60">
    <w:abstractNumId w:val="12"/>
  </w:num>
  <w:num w:numId="136">
    <w:abstractNumId w:val="6"/>
  </w:num>
  <w:num w:numId="1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