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72" w:rsidRPr="00CB1ADB" w:rsidRDefault="003A2872" w:rsidP="003A2872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Поверка штангенциркулей осуществляется </w:t>
      </w:r>
      <w:r w:rsidRPr="00CB1ADB">
        <w:rPr>
          <w:rFonts w:ascii="Times New Roman" w:eastAsia="Times New Roman" w:hAnsi="Times New Roman" w:cs="Times New Roman"/>
          <w:lang w:eastAsia="ru-RU"/>
        </w:rPr>
        <w:t>в соответствии с документом «Штангенциркули с отсчетом по нониусу и с цифровым отсчетным устройством торговой марки «</w:t>
      </w:r>
      <w:r w:rsidRPr="00CB1ADB">
        <w:rPr>
          <w:rFonts w:ascii="Times New Roman" w:eastAsia="Times New Roman" w:hAnsi="Times New Roman" w:cs="Times New Roman"/>
          <w:lang w:val="en-US" w:eastAsia="ru-RU"/>
        </w:rPr>
        <w:t>GRIFF</w:t>
      </w:r>
      <w:r w:rsidRPr="00CB1ADB">
        <w:rPr>
          <w:rFonts w:ascii="Times New Roman" w:eastAsia="Times New Roman" w:hAnsi="Times New Roman" w:cs="Times New Roman"/>
          <w:lang w:eastAsia="ru-RU"/>
        </w:rPr>
        <w:t xml:space="preserve">». Методика поверки», утвержденным ФГУП «ВНИИМС» 18 декабря </w:t>
      </w:r>
      <w:smartTag w:uri="urn:schemas-microsoft-com:office:smarttags" w:element="metricconverter">
        <w:smartTagPr>
          <w:attr w:name="ProductID" w:val="2013 г"/>
        </w:smartTagPr>
        <w:r w:rsidRPr="00CB1ADB">
          <w:rPr>
            <w:rFonts w:ascii="Times New Roman" w:eastAsia="Times New Roman" w:hAnsi="Times New Roman" w:cs="Times New Roman"/>
            <w:lang w:eastAsia="ru-RU"/>
          </w:rPr>
          <w:t>2013 г</w:t>
        </w:r>
      </w:smartTag>
      <w:r w:rsidRPr="00CB1ADB">
        <w:rPr>
          <w:rFonts w:ascii="Times New Roman" w:eastAsia="Times New Roman" w:hAnsi="Times New Roman" w:cs="Times New Roman"/>
          <w:lang w:eastAsia="ru-RU"/>
        </w:rPr>
        <w:t>.</w:t>
      </w:r>
    </w:p>
    <w:p w:rsidR="003A2872" w:rsidRPr="00CB1ADB" w:rsidRDefault="003A2872" w:rsidP="003A2872">
      <w:pPr>
        <w:spacing w:after="0" w:line="240" w:lineRule="atLeast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Межповерочный интервал устанавливается потребителем в зависимости от интенсивности эксплуатации штангенциркуля, но не реже одного раза в год.</w:t>
      </w:r>
    </w:p>
    <w:p w:rsidR="003A2872" w:rsidRPr="00CB1ADB" w:rsidRDefault="003A2872" w:rsidP="003A2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2872" w:rsidRPr="00CB1ADB" w:rsidRDefault="003A2872" w:rsidP="003A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9. Гарантии изготовителя</w:t>
      </w:r>
    </w:p>
    <w:p w:rsidR="003A2872" w:rsidRDefault="003A2872" w:rsidP="003A2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9.1. Изготовитель гарантирует соответствие штангенциркуля требованиям </w:t>
      </w:r>
      <w:r w:rsidRPr="00CB1ADB">
        <w:rPr>
          <w:rFonts w:ascii="Times New Roman" w:eastAsia="Times New Roman" w:hAnsi="Times New Roman" w:cs="Times New Roman"/>
          <w:lang w:eastAsia="ru-RU"/>
        </w:rPr>
        <w:t xml:space="preserve">технической документации фирмы-изготовителя </w:t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соблюдении условий транспортирования, хранения и эксплуатации. </w:t>
      </w:r>
      <w:r w:rsidRPr="00CB1AD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9.2. Гарантийный срок эксплуатации: 12 месяцев со дня ввода штангенциркуля в эксплуатацию.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9.3. Гарантийный срок хранения: 24 месяца.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9.4. По вопросам гарантийного обслуживания обращаться по адресу: </w:t>
      </w:r>
      <w:r w:rsidRPr="00CB1ADB">
        <w:rPr>
          <w:rFonts w:ascii="Times New Roman" w:eastAsia="Times New Roman" w:hAnsi="Times New Roman" w:cs="Times New Roman"/>
          <w:lang w:eastAsia="ru-RU"/>
        </w:rPr>
        <w:t xml:space="preserve">129226, Москва, платформа Северянин, владение 14       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>тел.:  (499) 707-74-63.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10. Транспортирование и хранение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Транспортирование и хранение штангенциркуля - по ГОСТ 13762.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11. Сведения о консервации и упаковке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Штангенциркуль подвергнут консервации и упаковке </w:t>
      </w:r>
      <w:r w:rsidRPr="00CB1ADB">
        <w:rPr>
          <w:rFonts w:ascii="Times New Roman" w:eastAsia="Times New Roman" w:hAnsi="Times New Roman" w:cs="Times New Roman"/>
          <w:lang w:eastAsia="ru-RU"/>
        </w:rPr>
        <w:t>согласно требованиям ГОСТ 9.014 и ГОСТ 13762.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Срок консервации: 24 месяца.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12. Свидетельство о приемке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 xml:space="preserve">Штангенциркуль соответствует требованиям технической документации фирмы-изготовителя и признан годным к эксплуатации.  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Дата выпуска: _____________________________________</w:t>
      </w: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Подписи лиц, ответственных за приемку: ______________</w:t>
      </w:r>
    </w:p>
    <w:p w:rsidR="000C42F9" w:rsidRPr="009A2D8E" w:rsidRDefault="000C42F9" w:rsidP="000C42F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№ изделия: _______________________________________</w:t>
      </w: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0C42F9" w:rsidRPr="009A2D8E" w:rsidRDefault="000C42F9" w:rsidP="000C42F9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М.П.</w:t>
      </w: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0C42F9" w:rsidRPr="009A2D8E" w:rsidRDefault="000C42F9" w:rsidP="000C42F9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  <w:lang w:val="de-DE"/>
        </w:rPr>
      </w:pPr>
    </w:p>
    <w:p w:rsidR="000C42F9" w:rsidRPr="009A2D8E" w:rsidRDefault="000C42F9" w:rsidP="000C42F9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b/>
          <w:caps/>
          <w:lang w:eastAsia="ru-RU"/>
        </w:rPr>
        <w:t>ООО «Кибер-инструмент»</w:t>
      </w:r>
    </w:p>
    <w:p w:rsidR="000C42F9" w:rsidRPr="009A2D8E" w:rsidRDefault="000C42F9" w:rsidP="000C42F9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 xml:space="preserve">129226, Москва, платформа Северянин, владение 14 </w:t>
      </w:r>
    </w:p>
    <w:p w:rsidR="000C42F9" w:rsidRPr="009A2D8E" w:rsidRDefault="000C42F9" w:rsidP="000C42F9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тел.: (499) 707-74-63</w:t>
      </w:r>
    </w:p>
    <w:p w:rsidR="000C42F9" w:rsidRPr="009A2D8E" w:rsidRDefault="000C42F9" w:rsidP="000C4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hyperlink r:id="rId7" w:history="1"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www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prof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</w:p>
    <w:p w:rsid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-180975</wp:posOffset>
            </wp:positionV>
            <wp:extent cx="508000" cy="508000"/>
            <wp:effectExtent l="0" t="0" r="635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-144780</wp:posOffset>
            </wp:positionV>
            <wp:extent cx="1371600" cy="6172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72" w:rsidRPr="00CB1ADB" w:rsidRDefault="003A2872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ШТАНГЕНЦИРКУЛИ С ОТСЧЕТОМ</w:t>
      </w: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 xml:space="preserve">ПО </w:t>
      </w:r>
      <w:r>
        <w:rPr>
          <w:rFonts w:cstheme="minorHAnsi"/>
          <w:b/>
          <w:spacing w:val="20"/>
          <w:sz w:val="28"/>
          <w:szCs w:val="28"/>
        </w:rPr>
        <w:t>НОНИУСУ</w:t>
      </w:r>
    </w:p>
    <w:p w:rsidR="000C42F9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ТОРГОВОЙ МАРКИ «</w:t>
      </w:r>
      <w:r>
        <w:rPr>
          <w:rFonts w:cstheme="minorHAnsi"/>
          <w:b/>
          <w:spacing w:val="20"/>
          <w:sz w:val="28"/>
          <w:szCs w:val="28"/>
          <w:lang w:val="en-US"/>
        </w:rPr>
        <w:t>GRIFF</w:t>
      </w:r>
      <w:r>
        <w:rPr>
          <w:rFonts w:cstheme="minorHAnsi"/>
          <w:b/>
          <w:spacing w:val="20"/>
          <w:sz w:val="28"/>
          <w:szCs w:val="28"/>
        </w:rPr>
        <w:t>»</w:t>
      </w:r>
    </w:p>
    <w:p w:rsidR="000C42F9" w:rsidRPr="00F35741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ДВУСТОРОННИЕ С ГЛУБИНОМЕРОМ</w:t>
      </w:r>
    </w:p>
    <w:p w:rsidR="000C42F9" w:rsidRPr="000C42F9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BD0547">
        <w:rPr>
          <w:rFonts w:cstheme="minorHAnsi"/>
          <w:b/>
          <w:spacing w:val="20"/>
          <w:sz w:val="28"/>
          <w:szCs w:val="28"/>
        </w:rPr>
        <w:t xml:space="preserve">ГОСТ </w:t>
      </w:r>
      <w:r>
        <w:rPr>
          <w:rFonts w:cstheme="minorHAnsi"/>
          <w:b/>
          <w:spacing w:val="20"/>
          <w:sz w:val="28"/>
          <w:szCs w:val="28"/>
        </w:rPr>
        <w:t>166</w:t>
      </w:r>
      <w:r w:rsidRPr="00BD0547">
        <w:rPr>
          <w:rFonts w:cstheme="minorHAnsi"/>
          <w:b/>
          <w:spacing w:val="20"/>
          <w:sz w:val="28"/>
          <w:szCs w:val="28"/>
        </w:rPr>
        <w:t>-</w:t>
      </w:r>
      <w:r>
        <w:rPr>
          <w:rFonts w:cstheme="minorHAnsi"/>
          <w:b/>
          <w:spacing w:val="20"/>
          <w:sz w:val="28"/>
          <w:szCs w:val="28"/>
        </w:rPr>
        <w:t>89</w:t>
      </w: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36"/>
          <w:szCs w:val="36"/>
        </w:rPr>
      </w:pPr>
      <w:r w:rsidRPr="00BD0547">
        <w:rPr>
          <w:rFonts w:cstheme="minorHAnsi"/>
          <w:b/>
          <w:spacing w:val="20"/>
          <w:sz w:val="36"/>
          <w:szCs w:val="36"/>
        </w:rPr>
        <w:t>ПАСПОРТ</w:t>
      </w: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36"/>
          <w:szCs w:val="36"/>
        </w:rPr>
      </w:pPr>
    </w:p>
    <w:p w:rsidR="000C42F9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553C56">
        <w:rPr>
          <w:rFonts w:cstheme="minorHAnsi"/>
          <w:b/>
          <w:spacing w:val="20"/>
          <w:sz w:val="28"/>
          <w:szCs w:val="28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ЩЦ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553C56">
        <w:rPr>
          <w:rFonts w:cstheme="minorHAnsi"/>
          <w:b/>
          <w:spacing w:val="20"/>
          <w:sz w:val="28"/>
          <w:szCs w:val="28"/>
        </w:rPr>
        <w:t>-1</w:t>
      </w:r>
      <w:r w:rsidRPr="00553C56">
        <w:rPr>
          <w:rFonts w:cstheme="minorHAnsi"/>
          <w:b/>
          <w:spacing w:val="20"/>
          <w:sz w:val="28"/>
          <w:szCs w:val="28"/>
        </w:rPr>
        <w:t xml:space="preserve">25 </w:t>
      </w:r>
      <w:r w:rsidR="00553C56">
        <w:rPr>
          <w:rFonts w:cstheme="minorHAnsi"/>
          <w:b/>
          <w:spacing w:val="20"/>
          <w:sz w:val="28"/>
          <w:szCs w:val="28"/>
        </w:rPr>
        <w:t xml:space="preserve"> </w:t>
      </w:r>
      <w:r w:rsidRPr="00553C56">
        <w:rPr>
          <w:rFonts w:cstheme="minorHAnsi"/>
          <w:b/>
          <w:spacing w:val="20"/>
          <w:sz w:val="28"/>
          <w:szCs w:val="28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ЩЦ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553C56">
        <w:rPr>
          <w:rFonts w:cstheme="minorHAnsi"/>
          <w:b/>
          <w:spacing w:val="20"/>
          <w:sz w:val="28"/>
          <w:szCs w:val="28"/>
        </w:rPr>
        <w:t>-1</w:t>
      </w:r>
      <w:r w:rsidRPr="00553C56">
        <w:rPr>
          <w:rFonts w:cstheme="minorHAnsi"/>
          <w:b/>
          <w:spacing w:val="20"/>
          <w:sz w:val="28"/>
          <w:szCs w:val="28"/>
        </w:rPr>
        <w:t>50</w:t>
      </w:r>
      <w:r w:rsidR="00553C56">
        <w:rPr>
          <w:rFonts w:cstheme="minorHAnsi"/>
          <w:b/>
          <w:spacing w:val="20"/>
          <w:sz w:val="28"/>
          <w:szCs w:val="28"/>
        </w:rPr>
        <w:t xml:space="preserve"> </w:t>
      </w:r>
      <w:r w:rsidRPr="00553C56">
        <w:rPr>
          <w:rFonts w:cstheme="minorHAnsi"/>
          <w:b/>
          <w:spacing w:val="20"/>
          <w:sz w:val="28"/>
          <w:szCs w:val="28"/>
        </w:rPr>
        <w:t xml:space="preserve"> □ </w:t>
      </w:r>
      <w:r>
        <w:rPr>
          <w:rFonts w:cstheme="minorHAnsi"/>
          <w:b/>
          <w:spacing w:val="20"/>
          <w:sz w:val="28"/>
          <w:szCs w:val="28"/>
        </w:rPr>
        <w:t>ЩЦ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 w:rsidRPr="00553C56">
        <w:rPr>
          <w:rFonts w:cstheme="minorHAnsi"/>
          <w:b/>
          <w:spacing w:val="20"/>
          <w:sz w:val="28"/>
          <w:szCs w:val="28"/>
        </w:rPr>
        <w:t>200</w:t>
      </w:r>
    </w:p>
    <w:p w:rsidR="000C42F9" w:rsidRPr="00553C56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553C56">
        <w:rPr>
          <w:rFonts w:cstheme="minorHAnsi"/>
          <w:b/>
          <w:spacing w:val="20"/>
          <w:sz w:val="28"/>
          <w:szCs w:val="28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ЩЦ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 w:rsidRPr="00553C56">
        <w:rPr>
          <w:rFonts w:cstheme="minorHAnsi"/>
          <w:b/>
          <w:spacing w:val="20"/>
          <w:sz w:val="28"/>
          <w:szCs w:val="28"/>
        </w:rPr>
        <w:t>250</w:t>
      </w:r>
      <w:r w:rsidRPr="00553C56">
        <w:rPr>
          <w:rFonts w:cstheme="minorHAnsi"/>
          <w:b/>
          <w:spacing w:val="20"/>
          <w:sz w:val="28"/>
          <w:szCs w:val="28"/>
        </w:rPr>
        <w:t xml:space="preserve"> </w:t>
      </w:r>
      <w:r w:rsidR="00553C56">
        <w:rPr>
          <w:rFonts w:cstheme="minorHAnsi"/>
          <w:b/>
          <w:spacing w:val="20"/>
          <w:sz w:val="28"/>
          <w:szCs w:val="28"/>
        </w:rPr>
        <w:t xml:space="preserve"> </w:t>
      </w:r>
      <w:r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ЩЦ-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553C56">
        <w:rPr>
          <w:rFonts w:cstheme="minorHAnsi"/>
          <w:b/>
          <w:spacing w:val="20"/>
          <w:sz w:val="28"/>
          <w:szCs w:val="28"/>
        </w:rPr>
        <w:t>-</w:t>
      </w:r>
      <w:r w:rsidRPr="00553C56">
        <w:rPr>
          <w:rFonts w:cstheme="minorHAnsi"/>
          <w:b/>
          <w:spacing w:val="20"/>
          <w:sz w:val="28"/>
          <w:szCs w:val="28"/>
        </w:rPr>
        <w:t>300</w:t>
      </w:r>
    </w:p>
    <w:p w:rsidR="000C42F9" w:rsidRPr="00553C56" w:rsidRDefault="000C42F9" w:rsidP="00CB1ADB">
      <w:pPr>
        <w:spacing w:after="0" w:line="240" w:lineRule="auto"/>
        <w:jc w:val="center"/>
        <w:rPr>
          <w:rFonts w:cstheme="minorHAnsi"/>
          <w:b/>
          <w:spacing w:val="20"/>
          <w:sz w:val="28"/>
          <w:szCs w:val="28"/>
        </w:rPr>
      </w:pPr>
    </w:p>
    <w:p w:rsidR="00CB1ADB" w:rsidRPr="00CB1ADB" w:rsidRDefault="000C42F9" w:rsidP="000C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cstheme="minorHAnsi"/>
          <w:b/>
          <w:spacing w:val="20"/>
          <w:sz w:val="28"/>
          <w:szCs w:val="28"/>
        </w:rPr>
        <w:t xml:space="preserve">Цена деления </w:t>
      </w:r>
      <w:r w:rsidRPr="00BD0547">
        <w:rPr>
          <w:rFonts w:cstheme="minorHAnsi"/>
          <w:b/>
          <w:spacing w:val="20"/>
          <w:sz w:val="28"/>
          <w:szCs w:val="28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0,05</w:t>
      </w:r>
      <w:r w:rsidRPr="00BD0547">
        <w:rPr>
          <w:rFonts w:cstheme="minorHAnsi"/>
          <w:b/>
          <w:spacing w:val="20"/>
          <w:sz w:val="28"/>
          <w:szCs w:val="28"/>
        </w:rPr>
        <w:t xml:space="preserve">  □ </w:t>
      </w:r>
      <w:r>
        <w:rPr>
          <w:rFonts w:cstheme="minorHAnsi"/>
          <w:b/>
          <w:spacing w:val="20"/>
          <w:sz w:val="28"/>
          <w:szCs w:val="28"/>
        </w:rPr>
        <w:t>0,1</w:t>
      </w: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CB1ADB" w:rsidRPr="00CB1ADB" w:rsidRDefault="000C42F9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6"/>
          <w:szCs w:val="24"/>
          <w:lang w:eastAsia="ru-RU"/>
        </w:rPr>
        <w:drawing>
          <wp:inline distT="0" distB="0" distL="0" distR="0">
            <wp:extent cx="2108718" cy="1557211"/>
            <wp:effectExtent l="0" t="0" r="635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999" cy="155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val="en-US"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1. Назначение изделия</w:t>
      </w:r>
    </w:p>
    <w:p w:rsidR="00CB1ADB" w:rsidRPr="00CB1ADB" w:rsidRDefault="00CB1ADB" w:rsidP="00CB1ADB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Штангенциркули с отсчетом по нониусу торговой марки «</w:t>
      </w:r>
      <w:r w:rsidRPr="00CB1ADB">
        <w:rPr>
          <w:rFonts w:ascii="Times New Roman" w:eastAsia="Times New Roman" w:hAnsi="Times New Roman" w:cs="Times New Roman"/>
          <w:color w:val="000000"/>
          <w:lang w:val="en-US" w:eastAsia="ru-RU"/>
        </w:rPr>
        <w:t>GRIFF</w:t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» двусторонние с глубиномером (далее по тексту - штангенциркули) предназначены для измерений наружных и внутренних линейных размеров, а также для измерения глубин. Применяется в машиностроении, приборостроении и других отраслях промышленности.</w:t>
      </w:r>
    </w:p>
    <w:p w:rsidR="00CB1ADB" w:rsidRPr="00CB1ADB" w:rsidRDefault="00CB1ADB" w:rsidP="00CB1ADB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2. Условия эксплуатации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Температура воздуха:</w:t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</w:t>
      </w:r>
      <w:r w:rsidR="003A287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 от 10 до 40</w:t>
      </w:r>
      <w:proofErr w:type="gramStart"/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°С</w:t>
      </w:r>
      <w:proofErr w:type="gramEnd"/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 xml:space="preserve">Относительная влажность воздуха:                           </w:t>
      </w:r>
      <w:r w:rsidR="003A2872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CB1ADB">
        <w:rPr>
          <w:rFonts w:ascii="Times New Roman" w:eastAsia="Times New Roman" w:hAnsi="Times New Roman" w:cs="Times New Roman"/>
          <w:lang w:eastAsia="ru-RU"/>
        </w:rPr>
        <w:t>не более 80%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3. ТехническИЕ характеристикИ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>Таблица 1 Основные метрологические и технические характеристики штангенциркулей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64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</w:tblGrid>
      <w:tr w:rsidR="00CB1ADB" w:rsidRPr="00CB1ADB" w:rsidTr="00766EC7">
        <w:trPr>
          <w:jc w:val="center"/>
        </w:trPr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Диапазон измерений наружных размеров, мм</w:t>
            </w:r>
          </w:p>
        </w:tc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Значение отсчета по нониусу, м</w:t>
            </w:r>
            <w:bookmarkStart w:id="0" w:name="_GoBack"/>
            <w:bookmarkEnd w:id="0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CB1ADB" w:rsidRPr="00CB1ADB" w:rsidTr="00766EC7">
        <w:trPr>
          <w:jc w:val="center"/>
        </w:trPr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от 0 до 125 </w:t>
            </w:r>
          </w:p>
        </w:tc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0,1; 0,05</w:t>
            </w:r>
          </w:p>
        </w:tc>
      </w:tr>
      <w:tr w:rsidR="00CB1ADB" w:rsidRPr="00CB1ADB" w:rsidTr="00766EC7">
        <w:trPr>
          <w:trHeight w:val="320"/>
          <w:jc w:val="center"/>
        </w:trPr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от 0 до 150 </w:t>
            </w:r>
          </w:p>
        </w:tc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0,1; 0,05</w:t>
            </w:r>
          </w:p>
        </w:tc>
      </w:tr>
      <w:tr w:rsidR="00CB1ADB" w:rsidRPr="00CB1ADB" w:rsidTr="00766EC7">
        <w:trPr>
          <w:trHeight w:val="290"/>
          <w:jc w:val="center"/>
        </w:trPr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от 0 до 200 </w:t>
            </w:r>
          </w:p>
        </w:tc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0,1; 0,05</w:t>
            </w:r>
          </w:p>
        </w:tc>
      </w:tr>
      <w:tr w:rsidR="00CB1ADB" w:rsidRPr="00CB1ADB" w:rsidTr="00766EC7">
        <w:trPr>
          <w:trHeight w:val="290"/>
          <w:jc w:val="center"/>
        </w:trPr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от 0 до 250 </w:t>
            </w:r>
          </w:p>
        </w:tc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0,1; 0,05</w:t>
            </w:r>
          </w:p>
        </w:tc>
      </w:tr>
      <w:tr w:rsidR="00CB1ADB" w:rsidRPr="00CB1ADB" w:rsidTr="00766EC7">
        <w:trPr>
          <w:trHeight w:val="236"/>
          <w:jc w:val="center"/>
        </w:trPr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от 0 до 300 </w:t>
            </w:r>
          </w:p>
        </w:tc>
        <w:tc>
          <w:tcPr>
            <w:tcW w:w="3240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0,1; 0,05</w:t>
            </w:r>
          </w:p>
        </w:tc>
      </w:tr>
    </w:tbl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>Таблица 2. Пределы допускаемой абсолютной погрешности штангенциркулей при измерении наружных размеров</w:t>
      </w:r>
    </w:p>
    <w:tbl>
      <w:tblPr>
        <w:tblW w:w="67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2439"/>
        <w:gridCol w:w="2582"/>
      </w:tblGrid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756" w:type="dxa"/>
            <w:vMerge w:val="restart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Измеряемая величина,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  <w:tc>
          <w:tcPr>
            <w:tcW w:w="5021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Пределы допускаемой абсолютной погрешности при измерении наружных размеров,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756" w:type="dxa"/>
            <w:vMerge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1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при значении отсчета по нониусу,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756" w:type="dxa"/>
            <w:vMerge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9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2582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1756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39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0,05</w:t>
            </w:r>
          </w:p>
        </w:tc>
        <w:tc>
          <w:tcPr>
            <w:tcW w:w="2582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0,10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1756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439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0,05</w:t>
            </w:r>
          </w:p>
        </w:tc>
        <w:tc>
          <w:tcPr>
            <w:tcW w:w="2582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0,10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1756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39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0,05</w:t>
            </w:r>
          </w:p>
        </w:tc>
        <w:tc>
          <w:tcPr>
            <w:tcW w:w="2582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0,10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33"/>
          <w:jc w:val="center"/>
        </w:trPr>
        <w:tc>
          <w:tcPr>
            <w:tcW w:w="1756" w:type="dxa"/>
          </w:tcPr>
          <w:p w:rsidR="00CB1ADB" w:rsidRPr="00CB1ADB" w:rsidRDefault="00CB1ADB" w:rsidP="00CB1ADB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439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0,06</w:t>
            </w:r>
          </w:p>
        </w:tc>
        <w:tc>
          <w:tcPr>
            <w:tcW w:w="2582" w:type="dxa"/>
            <w:vAlign w:val="center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0,10</w:t>
            </w:r>
          </w:p>
        </w:tc>
      </w:tr>
    </w:tbl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>Таблица 3. Пределы допускаемой абсолютной погрешности при измерении глубины</w:t>
      </w:r>
    </w:p>
    <w:tbl>
      <w:tblPr>
        <w:tblW w:w="0" w:type="auto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3583"/>
      </w:tblGrid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49"/>
          <w:jc w:val="center"/>
        </w:trPr>
        <w:tc>
          <w:tcPr>
            <w:tcW w:w="6663" w:type="dxa"/>
            <w:gridSpan w:val="2"/>
          </w:tcPr>
          <w:p w:rsidR="00CB1ADB" w:rsidRPr="00CB1ADB" w:rsidRDefault="00CB1ADB" w:rsidP="00CB1ADB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Пределы допускаемой абсолютной погрешности при измерении глубины, равной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CB1ADB">
                <w:rPr>
                  <w:rFonts w:ascii="Times New Roman" w:eastAsia="Times New Roman" w:hAnsi="Times New Roman" w:cs="Times New Roman"/>
                  <w:lang w:eastAsia="ru-RU"/>
                </w:rPr>
                <w:t>20 мм</w:t>
              </w:r>
            </w:smartTag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, мм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49"/>
          <w:jc w:val="center"/>
        </w:trPr>
        <w:tc>
          <w:tcPr>
            <w:tcW w:w="6663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при значении отсчета по нониусу,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3080" w:type="dxa"/>
            <w:vAlign w:val="center"/>
          </w:tcPr>
          <w:p w:rsidR="00CB1ADB" w:rsidRPr="00CB1ADB" w:rsidRDefault="00CB1ADB" w:rsidP="00CB1ADB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3583" w:type="dxa"/>
            <w:vAlign w:val="center"/>
          </w:tcPr>
          <w:p w:rsidR="00CB1ADB" w:rsidRPr="00CB1ADB" w:rsidRDefault="00CB1ADB" w:rsidP="00CB1ADB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3080" w:type="dxa"/>
            <w:vAlign w:val="center"/>
          </w:tcPr>
          <w:p w:rsidR="00CB1ADB" w:rsidRPr="00CB1ADB" w:rsidRDefault="00CB1ADB" w:rsidP="00CB1ADB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0,05</w:t>
            </w:r>
          </w:p>
        </w:tc>
        <w:tc>
          <w:tcPr>
            <w:tcW w:w="3583" w:type="dxa"/>
            <w:vAlign w:val="center"/>
          </w:tcPr>
          <w:p w:rsidR="00CB1ADB" w:rsidRPr="00CB1ADB" w:rsidRDefault="00CB1ADB" w:rsidP="00CB1ADB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± 0,05</w:t>
            </w:r>
          </w:p>
        </w:tc>
      </w:tr>
    </w:tbl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1ADB" w:rsidRPr="00CB1ADB" w:rsidRDefault="00CB1ADB" w:rsidP="00CB1ADB">
      <w:pPr>
        <w:spacing w:after="0" w:line="240" w:lineRule="atLeast"/>
        <w:ind w:right="328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 xml:space="preserve">Таблица 4. Расстояние между кромочными измерительными поверхностями губок для внутренних измерений штангенциркулей двусторонних с глубиномером, установленных на размер </w:t>
      </w:r>
      <w:smartTag w:uri="urn:schemas-microsoft-com:office:smarttags" w:element="metricconverter">
        <w:smartTagPr>
          <w:attr w:name="ProductID" w:val="10 мм"/>
        </w:smartTagPr>
        <w:r w:rsidRPr="00CB1ADB">
          <w:rPr>
            <w:rFonts w:ascii="Times New Roman" w:eastAsia="Times New Roman" w:hAnsi="Times New Roman" w:cs="Times New Roman"/>
            <w:lang w:eastAsia="ru-RU"/>
          </w:rPr>
          <w:t>10 мм</w:t>
        </w:r>
      </w:smartTag>
      <w:r w:rsidRPr="00CB1ADB">
        <w:rPr>
          <w:rFonts w:ascii="Times New Roman" w:eastAsia="Times New Roman" w:hAnsi="Times New Roman" w:cs="Times New Roman"/>
          <w:lang w:eastAsia="ru-RU"/>
        </w:rPr>
        <w:t>, и отклонение их от параллельности</w:t>
      </w:r>
    </w:p>
    <w:tbl>
      <w:tblPr>
        <w:tblW w:w="6900" w:type="dxa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941"/>
        <w:gridCol w:w="1601"/>
        <w:gridCol w:w="1654"/>
      </w:tblGrid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3645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Расстояние между кромочными измерительными поверхностями губок,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  <w:tc>
          <w:tcPr>
            <w:tcW w:w="3255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Отклонение от параллельности,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3645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значении отсчета по нониусу,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  <w:tc>
          <w:tcPr>
            <w:tcW w:w="3255" w:type="dxa"/>
            <w:gridSpan w:val="2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 xml:space="preserve">при значении отсчета по нониусу, </w:t>
            </w:r>
            <w:proofErr w:type="gramStart"/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1704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941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601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654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CB1ADB" w:rsidRPr="00CB1ADB" w:rsidTr="00766EC7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1704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CB1A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+0,04</w:t>
            </w:r>
          </w:p>
        </w:tc>
        <w:tc>
          <w:tcPr>
            <w:tcW w:w="1941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CB1A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+0,04</w:t>
            </w:r>
          </w:p>
        </w:tc>
        <w:tc>
          <w:tcPr>
            <w:tcW w:w="1601" w:type="dxa"/>
          </w:tcPr>
          <w:p w:rsidR="00CB1ADB" w:rsidRPr="00CB1ADB" w:rsidRDefault="00CB1ADB" w:rsidP="00CB1A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+ 0,02</w:t>
            </w:r>
          </w:p>
        </w:tc>
        <w:tc>
          <w:tcPr>
            <w:tcW w:w="1654" w:type="dxa"/>
          </w:tcPr>
          <w:p w:rsidR="00CB1ADB" w:rsidRPr="00CB1ADB" w:rsidRDefault="00CB1ADB" w:rsidP="00CB1ADB">
            <w:pPr>
              <w:spacing w:after="0" w:line="240" w:lineRule="atLeast"/>
              <w:ind w:left="-122" w:firstLine="1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ADB">
              <w:rPr>
                <w:rFonts w:ascii="Times New Roman" w:eastAsia="Times New Roman" w:hAnsi="Times New Roman" w:cs="Times New Roman"/>
                <w:lang w:eastAsia="ru-RU"/>
              </w:rPr>
              <w:t>+ 0,02</w:t>
            </w:r>
          </w:p>
        </w:tc>
      </w:tr>
    </w:tbl>
    <w:p w:rsidR="00CB1ADB" w:rsidRPr="00CB1ADB" w:rsidRDefault="00CB1ADB" w:rsidP="00CB1ADB">
      <w:pPr>
        <w:spacing w:after="0" w:line="240" w:lineRule="atLeast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CB1ADB" w:rsidRPr="00CB1ADB" w:rsidRDefault="00CB1ADB" w:rsidP="00DC7D2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 xml:space="preserve">Шероховатость плоских измерительных поверхностей штангенциркулей для наружных измерений, </w:t>
      </w:r>
      <w:proofErr w:type="gramStart"/>
      <w:r w:rsidRPr="00CB1ADB">
        <w:rPr>
          <w:rFonts w:ascii="Times New Roman" w:eastAsia="Times New Roman" w:hAnsi="Times New Roman" w:cs="Times New Roman"/>
          <w:lang w:eastAsia="ru-RU"/>
        </w:rPr>
        <w:t>мкм</w:t>
      </w:r>
      <w:proofErr w:type="gramEnd"/>
      <w:r w:rsidRPr="00CB1ADB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CB1ADB">
        <w:rPr>
          <w:rFonts w:ascii="Times New Roman" w:eastAsia="Times New Roman" w:hAnsi="Times New Roman" w:cs="Times New Roman"/>
          <w:i/>
          <w:lang w:val="en-US" w:eastAsia="ru-RU"/>
        </w:rPr>
        <w:t>Ra</w:t>
      </w:r>
      <w:r w:rsidRPr="00CB1ADB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B1ADB">
        <w:rPr>
          <w:rFonts w:ascii="Times New Roman" w:eastAsia="Times New Roman" w:hAnsi="Times New Roman" w:cs="Times New Roman"/>
          <w:lang w:eastAsia="ru-RU"/>
        </w:rPr>
        <w:t>≤ 0,2;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4. Комплектность поставки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4.1. Штангенциркуль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4.2. Футляр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4.3. Паспорт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5. Указание мер безопасности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Во избежание травматизма необходимо не допускать измерений на ходу станка.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6. Подготовка к работе и правила эксплуатации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6.1. Ознакомиться перед началом работы с паспортом на штангенциркуль.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6.2. Промыть бензином и протереть измерительные поверхности чистой тканью. 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6.3. Выдержать штангенциркуль на рабочем месте не менее 3 ч.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6.4. Ослабить зажимной винт и проверить плавность хода рамки. 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6.5. Убедиться в совпадении нулевых рисок штанги и нониуса.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6.6. Не допускать:</w:t>
      </w:r>
    </w:p>
    <w:p w:rsidR="00CB1ADB" w:rsidRPr="00CB1ADB" w:rsidRDefault="00CB1ADB" w:rsidP="00CB1A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грубых ударов или падений во избежание изгиба штанги;</w:t>
      </w:r>
    </w:p>
    <w:p w:rsidR="00CB1ADB" w:rsidRPr="00CB1ADB" w:rsidRDefault="00CB1ADB" w:rsidP="00CB1A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царапин на измерительных поверхностях.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6.7. После окончания работы штангенциркуль протереть чистой салфеткой  и уложить в футляр.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7. Порядок работы</w:t>
      </w:r>
    </w:p>
    <w:p w:rsidR="00CB1ADB" w:rsidRPr="00CB1ADB" w:rsidRDefault="00CB1ADB" w:rsidP="00CB1ADB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7.1. При измерении наружных поверхностей необходимо, чтобы не было перекосов, губки были перпендикулярны измеряемой поверхности. Губки для наружных измерений опустить насколько это возможно.</w:t>
      </w:r>
    </w:p>
    <w:p w:rsidR="00CB1ADB" w:rsidRPr="00CB1ADB" w:rsidRDefault="00CB1ADB" w:rsidP="00CB1ADB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7.2. При измерении внутренних поверхностей, губки для внутренних измерений опустить насколько это возможно. Не допускать перекосов, губки должны быть перпендикулярны измеряемой поверхности. При измерении диаметров отверстий снимается максимальное значение.</w:t>
      </w:r>
    </w:p>
    <w:p w:rsidR="00CB1ADB" w:rsidRPr="00CB1ADB" w:rsidRDefault="00CB1ADB" w:rsidP="00CB1ADB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7.3. При измерении глубины глубиномер необходимо устанавливать перпендикулярно дну детали.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42F9" w:rsidRPr="00CB1ADB" w:rsidRDefault="00CB1ADB" w:rsidP="003A2872">
      <w:pPr>
        <w:spacing w:after="0" w:line="240" w:lineRule="auto"/>
        <w:jc w:val="center"/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8. Методы контроля и испытаний</w:t>
      </w:r>
    </w:p>
    <w:sectPr w:rsidR="000C42F9" w:rsidRPr="00CB1ADB" w:rsidSect="009B3A35">
      <w:pgSz w:w="8505" w:h="11907" w:code="9"/>
      <w:pgMar w:top="720" w:right="297" w:bottom="27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860"/>
    <w:multiLevelType w:val="hybridMultilevel"/>
    <w:tmpl w:val="E902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7F48F5"/>
    <w:multiLevelType w:val="singleLevel"/>
    <w:tmpl w:val="43BE63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22"/>
    <w:rsid w:val="00010687"/>
    <w:rsid w:val="000C42F9"/>
    <w:rsid w:val="000F3D9C"/>
    <w:rsid w:val="001102A8"/>
    <w:rsid w:val="001233C6"/>
    <w:rsid w:val="00145FD0"/>
    <w:rsid w:val="001553C0"/>
    <w:rsid w:val="001B60F4"/>
    <w:rsid w:val="00262211"/>
    <w:rsid w:val="002B1E67"/>
    <w:rsid w:val="00312FCC"/>
    <w:rsid w:val="00335A30"/>
    <w:rsid w:val="003A2872"/>
    <w:rsid w:val="003F70AC"/>
    <w:rsid w:val="0045667E"/>
    <w:rsid w:val="0047457A"/>
    <w:rsid w:val="00540BEF"/>
    <w:rsid w:val="00553C56"/>
    <w:rsid w:val="005F05B8"/>
    <w:rsid w:val="00612DE2"/>
    <w:rsid w:val="006D6DD1"/>
    <w:rsid w:val="007D350C"/>
    <w:rsid w:val="008F7E11"/>
    <w:rsid w:val="009A2D8E"/>
    <w:rsid w:val="009B76E5"/>
    <w:rsid w:val="00A12D22"/>
    <w:rsid w:val="00A93A8C"/>
    <w:rsid w:val="00AD54D3"/>
    <w:rsid w:val="00B50008"/>
    <w:rsid w:val="00B82490"/>
    <w:rsid w:val="00BD0547"/>
    <w:rsid w:val="00CB1ADB"/>
    <w:rsid w:val="00CD297F"/>
    <w:rsid w:val="00D576A3"/>
    <w:rsid w:val="00D8220C"/>
    <w:rsid w:val="00DC7D24"/>
    <w:rsid w:val="00E355F5"/>
    <w:rsid w:val="00E42ACD"/>
    <w:rsid w:val="00E45982"/>
    <w:rsid w:val="00EC3E69"/>
    <w:rsid w:val="00EC5731"/>
    <w:rsid w:val="00ED76E7"/>
    <w:rsid w:val="00F332B9"/>
    <w:rsid w:val="00F35741"/>
    <w:rsid w:val="00F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7D350C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50C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D350C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350C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7D350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7D350C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50C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D350C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350C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7D350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prof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19C1-82BA-4504-BD3E-6466FA75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Катанов Вячеслав</dc:creator>
  <cp:keywords/>
  <dc:description/>
  <cp:lastModifiedBy>Катанов Вячеслав</cp:lastModifiedBy>
  <cp:revision>39</cp:revision>
  <cp:lastPrinted>2017-03-21T12:07:00Z</cp:lastPrinted>
  <dcterms:created xsi:type="dcterms:W3CDTF">2017-03-07T13:43:00Z</dcterms:created>
  <dcterms:modified xsi:type="dcterms:W3CDTF">2017-04-03T11:10:00Z</dcterms:modified>
</cp:coreProperties>
</file>