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17" w:rsidRPr="009712F3" w:rsidRDefault="0008389C">
      <w:pPr>
        <w:rPr>
          <w:rFonts w:ascii="Times New Roman" w:hAnsi="Times New Roman" w:cs="Times New Roman"/>
          <w:sz w:val="40"/>
          <w:szCs w:val="40"/>
        </w:rPr>
      </w:pPr>
      <w:r>
        <w:t xml:space="preserve">                                        </w:t>
      </w:r>
      <w:r w:rsidRPr="009712F3">
        <w:rPr>
          <w:rFonts w:ascii="Times New Roman" w:hAnsi="Times New Roman" w:cs="Times New Roman"/>
          <w:sz w:val="40"/>
          <w:szCs w:val="40"/>
        </w:rPr>
        <w:t>Галоши  диэлектрические.</w:t>
      </w:r>
    </w:p>
    <w:p w:rsidR="0008389C" w:rsidRPr="00F81F01" w:rsidRDefault="0008389C" w:rsidP="0008389C">
      <w:pPr>
        <w:rPr>
          <w:rFonts w:ascii="Times New Roman" w:hAnsi="Times New Roman" w:cs="Times New Roman"/>
          <w:b/>
        </w:rPr>
      </w:pPr>
      <w:r w:rsidRPr="009712F3">
        <w:rPr>
          <w:rFonts w:ascii="Times New Roman" w:hAnsi="Times New Roman" w:cs="Times New Roman"/>
        </w:rPr>
        <w:t xml:space="preserve">                                                           </w:t>
      </w:r>
      <w:r w:rsidRPr="00F81F01">
        <w:rPr>
          <w:rFonts w:ascii="Times New Roman" w:hAnsi="Times New Roman" w:cs="Times New Roman"/>
          <w:b/>
        </w:rPr>
        <w:t>Техническое описание</w:t>
      </w:r>
    </w:p>
    <w:p w:rsidR="0008389C" w:rsidRPr="009712F3" w:rsidRDefault="0008389C" w:rsidP="00F81F01">
      <w:pPr>
        <w:spacing w:after="0"/>
        <w:ind w:firstLine="708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Галоши изготавливаются из резиновой смеси ДБ-11, производств</w:t>
      </w:r>
      <w:proofErr w:type="gramStart"/>
      <w:r w:rsidRPr="009712F3">
        <w:rPr>
          <w:rFonts w:ascii="Times New Roman" w:hAnsi="Times New Roman" w:cs="Times New Roman"/>
        </w:rPr>
        <w:t>а ООО</w:t>
      </w:r>
      <w:proofErr w:type="gramEnd"/>
      <w:r w:rsidRPr="009712F3">
        <w:rPr>
          <w:rFonts w:ascii="Times New Roman" w:hAnsi="Times New Roman" w:cs="Times New Roman"/>
        </w:rPr>
        <w:t xml:space="preserve"> «</w:t>
      </w:r>
      <w:r w:rsidR="00F20C98" w:rsidRPr="009712F3">
        <w:rPr>
          <w:rFonts w:ascii="Times New Roman" w:hAnsi="Times New Roman" w:cs="Times New Roman"/>
        </w:rPr>
        <w:t>МЕРИОН-РТИ</w:t>
      </w:r>
      <w:r w:rsidRPr="009712F3">
        <w:rPr>
          <w:rFonts w:ascii="Times New Roman" w:hAnsi="Times New Roman" w:cs="Times New Roman"/>
        </w:rPr>
        <w:t>». Основа резиновой смеси явля</w:t>
      </w:r>
      <w:r w:rsidR="00F20C98" w:rsidRPr="009712F3">
        <w:rPr>
          <w:rFonts w:ascii="Times New Roman" w:hAnsi="Times New Roman" w:cs="Times New Roman"/>
        </w:rPr>
        <w:t>е</w:t>
      </w:r>
      <w:r w:rsidRPr="009712F3">
        <w:rPr>
          <w:rFonts w:ascii="Times New Roman" w:hAnsi="Times New Roman" w:cs="Times New Roman"/>
        </w:rPr>
        <w:t>тся</w:t>
      </w:r>
      <w:r w:rsidR="00F20C98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 xml:space="preserve"> </w:t>
      </w:r>
      <w:r w:rsidR="00F20C98" w:rsidRPr="009712F3">
        <w:rPr>
          <w:rFonts w:ascii="Times New Roman" w:hAnsi="Times New Roman" w:cs="Times New Roman"/>
        </w:rPr>
        <w:t>каучук</w:t>
      </w:r>
      <w:r w:rsidRPr="009712F3">
        <w:rPr>
          <w:rFonts w:ascii="Times New Roman" w:hAnsi="Times New Roman" w:cs="Times New Roman"/>
        </w:rPr>
        <w:t xml:space="preserve"> СКИ-3, СКМС30</w:t>
      </w:r>
      <w:r w:rsidR="00F81F01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>АРКМ15, производства ОАО «</w:t>
      </w:r>
      <w:proofErr w:type="spellStart"/>
      <w:r w:rsidRPr="009712F3">
        <w:rPr>
          <w:rFonts w:ascii="Times New Roman" w:hAnsi="Times New Roman" w:cs="Times New Roman"/>
        </w:rPr>
        <w:t>Сибур</w:t>
      </w:r>
      <w:proofErr w:type="spellEnd"/>
      <w:r w:rsidRPr="009712F3">
        <w:rPr>
          <w:rFonts w:ascii="Times New Roman" w:hAnsi="Times New Roman" w:cs="Times New Roman"/>
        </w:rPr>
        <w:t>», город Тольятти. Наполнители</w:t>
      </w:r>
      <w:r w:rsidR="00F81F01">
        <w:rPr>
          <w:rFonts w:ascii="Times New Roman" w:hAnsi="Times New Roman" w:cs="Times New Roman"/>
        </w:rPr>
        <w:t>,</w:t>
      </w:r>
      <w:r w:rsidRPr="009712F3">
        <w:rPr>
          <w:rFonts w:ascii="Times New Roman" w:hAnsi="Times New Roman" w:cs="Times New Roman"/>
        </w:rPr>
        <w:t xml:space="preserve"> обеспечивающие диэлектрические свойства: мел производства ОАО «</w:t>
      </w:r>
      <w:proofErr w:type="spellStart"/>
      <w:r w:rsidRPr="009712F3">
        <w:rPr>
          <w:rFonts w:ascii="Times New Roman" w:hAnsi="Times New Roman" w:cs="Times New Roman"/>
        </w:rPr>
        <w:t>Мелобром</w:t>
      </w:r>
      <w:proofErr w:type="spellEnd"/>
      <w:r w:rsidRPr="009712F3">
        <w:rPr>
          <w:rFonts w:ascii="Times New Roman" w:hAnsi="Times New Roman" w:cs="Times New Roman"/>
        </w:rPr>
        <w:t>», сажа белая производства ОАО «СНХЗ», город Стерлитамак, масло индустриальное И-20 ОАО «ЛУКОЙЛ», сер</w:t>
      </w:r>
      <w:proofErr w:type="gramStart"/>
      <w:r w:rsidRPr="009712F3">
        <w:rPr>
          <w:rFonts w:ascii="Times New Roman" w:hAnsi="Times New Roman" w:cs="Times New Roman"/>
        </w:rPr>
        <w:t>а ООО</w:t>
      </w:r>
      <w:proofErr w:type="gramEnd"/>
      <w:r w:rsidRPr="009712F3">
        <w:rPr>
          <w:rFonts w:ascii="Times New Roman" w:hAnsi="Times New Roman" w:cs="Times New Roman"/>
        </w:rPr>
        <w:t xml:space="preserve"> «</w:t>
      </w:r>
      <w:proofErr w:type="spellStart"/>
      <w:r w:rsidRPr="009712F3">
        <w:rPr>
          <w:rFonts w:ascii="Times New Roman" w:hAnsi="Times New Roman" w:cs="Times New Roman"/>
        </w:rPr>
        <w:t>Добромыль</w:t>
      </w:r>
      <w:proofErr w:type="spellEnd"/>
      <w:r w:rsidRPr="009712F3">
        <w:rPr>
          <w:rFonts w:ascii="Times New Roman" w:hAnsi="Times New Roman" w:cs="Times New Roman"/>
        </w:rPr>
        <w:t xml:space="preserve">-Яворов», белила цинковые ОАО «Башкирская содовая компания». </w:t>
      </w:r>
    </w:p>
    <w:p w:rsidR="0008389C" w:rsidRPr="00F81F01" w:rsidRDefault="0008389C" w:rsidP="00F81F01">
      <w:pPr>
        <w:spacing w:after="0"/>
        <w:ind w:firstLine="708"/>
        <w:rPr>
          <w:rFonts w:ascii="Times New Roman" w:hAnsi="Times New Roman" w:cs="Times New Roman"/>
        </w:rPr>
      </w:pPr>
      <w:r w:rsidRPr="00F81F01">
        <w:rPr>
          <w:rFonts w:ascii="Times New Roman" w:hAnsi="Times New Roman" w:cs="Times New Roman"/>
        </w:rPr>
        <w:t>Наименование ингредиентов в рецептуре</w:t>
      </w:r>
      <w:r w:rsidR="00F81F01" w:rsidRPr="00F81F01">
        <w:rPr>
          <w:rFonts w:ascii="Times New Roman" w:hAnsi="Times New Roman" w:cs="Times New Roman"/>
        </w:rPr>
        <w:t xml:space="preserve"> </w:t>
      </w:r>
      <w:r w:rsidRPr="00F81F01">
        <w:rPr>
          <w:rFonts w:ascii="Times New Roman" w:hAnsi="Times New Roman" w:cs="Times New Roman"/>
        </w:rPr>
        <w:t>при изготовлении галош резиновых диэлектрических формовых.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1.</w:t>
      </w:r>
      <w:r w:rsidRPr="009712F3">
        <w:rPr>
          <w:rFonts w:ascii="Times New Roman" w:hAnsi="Times New Roman" w:cs="Times New Roman"/>
        </w:rPr>
        <w:tab/>
      </w:r>
      <w:proofErr w:type="spellStart"/>
      <w:r w:rsidRPr="009712F3">
        <w:rPr>
          <w:rFonts w:ascii="Times New Roman" w:hAnsi="Times New Roman" w:cs="Times New Roman"/>
        </w:rPr>
        <w:t>Изопреновый</w:t>
      </w:r>
      <w:proofErr w:type="spellEnd"/>
      <w:r w:rsidRPr="009712F3">
        <w:rPr>
          <w:rFonts w:ascii="Times New Roman" w:hAnsi="Times New Roman" w:cs="Times New Roman"/>
        </w:rPr>
        <w:t xml:space="preserve"> синтетический каучук – СКИ-3.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2.</w:t>
      </w:r>
      <w:r w:rsidRPr="009712F3">
        <w:rPr>
          <w:rFonts w:ascii="Times New Roman" w:hAnsi="Times New Roman" w:cs="Times New Roman"/>
        </w:rPr>
        <w:tab/>
        <w:t>Сажа белая (БС).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3.</w:t>
      </w:r>
      <w:r w:rsidRPr="009712F3">
        <w:rPr>
          <w:rFonts w:ascii="Times New Roman" w:hAnsi="Times New Roman" w:cs="Times New Roman"/>
        </w:rPr>
        <w:tab/>
        <w:t>Мел природный.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4.</w:t>
      </w:r>
      <w:r w:rsidRPr="009712F3">
        <w:rPr>
          <w:rFonts w:ascii="Times New Roman" w:hAnsi="Times New Roman" w:cs="Times New Roman"/>
        </w:rPr>
        <w:tab/>
        <w:t>Сера (S) техническая природная.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5.</w:t>
      </w:r>
      <w:r w:rsidRPr="009712F3">
        <w:rPr>
          <w:rFonts w:ascii="Times New Roman" w:hAnsi="Times New Roman" w:cs="Times New Roman"/>
        </w:rPr>
        <w:tab/>
        <w:t>Цинковые белила (БЦОМ).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6.</w:t>
      </w:r>
      <w:r w:rsidRPr="009712F3">
        <w:rPr>
          <w:rFonts w:ascii="Times New Roman" w:hAnsi="Times New Roman" w:cs="Times New Roman"/>
        </w:rPr>
        <w:tab/>
        <w:t>Диоксид титана (TiO2).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7.</w:t>
      </w:r>
      <w:r w:rsidRPr="009712F3">
        <w:rPr>
          <w:rFonts w:ascii="Times New Roman" w:hAnsi="Times New Roman" w:cs="Times New Roman"/>
        </w:rPr>
        <w:tab/>
      </w:r>
      <w:proofErr w:type="spellStart"/>
      <w:r w:rsidRPr="009712F3">
        <w:rPr>
          <w:rFonts w:ascii="Times New Roman" w:hAnsi="Times New Roman" w:cs="Times New Roman"/>
        </w:rPr>
        <w:t>Сульфенамид</w:t>
      </w:r>
      <w:proofErr w:type="spellEnd"/>
      <w:r w:rsidRPr="009712F3">
        <w:rPr>
          <w:rFonts w:ascii="Times New Roman" w:hAnsi="Times New Roman" w:cs="Times New Roman"/>
        </w:rPr>
        <w:t xml:space="preserve"> «М».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8.</w:t>
      </w:r>
      <w:r w:rsidRPr="009712F3">
        <w:rPr>
          <w:rFonts w:ascii="Times New Roman" w:hAnsi="Times New Roman" w:cs="Times New Roman"/>
        </w:rPr>
        <w:tab/>
        <w:t>Антиоксидант (Агидол-2)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          Изготовление резиновой смеси производится на смесительных вальцах Пд1500 600/600CМ. Резиновая смесь подается в формовой цех для изготовления бот и галош. Предварительно она разогревается на вальцах пд600 300/300 и снимается заготовка в виде ленты. Лента подается к прессам, где навешивается по весу, укладывается в пресс форму, которые установлены на формовых прессах PHG60. далее резиновая смесь формуется под высоким давлением и вулканизируется изделие. Через 15 минут изделие снимается воздухом и поступает на обработку. Обрезается </w:t>
      </w:r>
      <w:proofErr w:type="spellStart"/>
      <w:r w:rsidRPr="009712F3">
        <w:rPr>
          <w:rFonts w:ascii="Times New Roman" w:hAnsi="Times New Roman" w:cs="Times New Roman"/>
        </w:rPr>
        <w:t>облой</w:t>
      </w:r>
      <w:proofErr w:type="spellEnd"/>
      <w:r w:rsidRPr="009712F3">
        <w:rPr>
          <w:rFonts w:ascii="Times New Roman" w:hAnsi="Times New Roman" w:cs="Times New Roman"/>
        </w:rPr>
        <w:t>, далее изделие идет на контроль. Вначале ОТК  проверяет визуально на наличие отклонений от эталона. Затем изделие проверяется на соответствие диэлектрическим параметрам. Изделие сушится и упаковывается. Ковры диэлектрические изготавливаются аналогичным образом</w:t>
      </w:r>
    </w:p>
    <w:p w:rsidR="0008389C" w:rsidRPr="009712F3" w:rsidRDefault="0008389C" w:rsidP="00F81F01">
      <w:pPr>
        <w:spacing w:after="0"/>
        <w:ind w:firstLine="708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Область применения: галоши резиновые диэлектрические формовые (далее галоши), предназначены для защиты  от воздействия постоянным и</w:t>
      </w:r>
      <w:r w:rsidR="00730085" w:rsidRPr="009712F3">
        <w:rPr>
          <w:rFonts w:ascii="Times New Roman" w:hAnsi="Times New Roman" w:cs="Times New Roman"/>
        </w:rPr>
        <w:t xml:space="preserve">ли </w:t>
      </w:r>
      <w:r w:rsidRPr="009712F3">
        <w:rPr>
          <w:rFonts w:ascii="Times New Roman" w:hAnsi="Times New Roman" w:cs="Times New Roman"/>
        </w:rPr>
        <w:t xml:space="preserve"> переменным электрическим током, амплитудные значения которого не превышают </w:t>
      </w:r>
      <w:r w:rsidR="00F20C98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>1</w:t>
      </w:r>
      <w:r w:rsidR="00F20C98" w:rsidRPr="009712F3">
        <w:rPr>
          <w:rFonts w:ascii="Times New Roman" w:hAnsi="Times New Roman" w:cs="Times New Roman"/>
        </w:rPr>
        <w:t>к</w:t>
      </w:r>
      <w:r w:rsidRPr="009712F3">
        <w:rPr>
          <w:rFonts w:ascii="Times New Roman" w:hAnsi="Times New Roman" w:cs="Times New Roman"/>
        </w:rPr>
        <w:t xml:space="preserve"> В.   Галоши  являются дополнительным средством защиты от электрического тока при работе </w:t>
      </w:r>
      <w:proofErr w:type="gramStart"/>
      <w:r w:rsidRPr="009712F3">
        <w:rPr>
          <w:rFonts w:ascii="Times New Roman" w:hAnsi="Times New Roman" w:cs="Times New Roman"/>
        </w:rPr>
        <w:t>в</w:t>
      </w:r>
      <w:proofErr w:type="gramEnd"/>
      <w:r w:rsidRPr="009712F3">
        <w:rPr>
          <w:rFonts w:ascii="Times New Roman" w:hAnsi="Times New Roman" w:cs="Times New Roman"/>
        </w:rPr>
        <w:t xml:space="preserve"> закрытых, а при отсутствии осадков, на открытых электроустановках.  Галоши формовые состоят из резинового верха и рифленой резиновой  подошвы</w:t>
      </w:r>
      <w:proofErr w:type="gramStart"/>
      <w:r w:rsidRPr="009712F3">
        <w:rPr>
          <w:rFonts w:ascii="Times New Roman" w:hAnsi="Times New Roman" w:cs="Times New Roman"/>
        </w:rPr>
        <w:t xml:space="preserve"> .</w:t>
      </w:r>
      <w:proofErr w:type="gramEnd"/>
      <w:r w:rsidRPr="009712F3">
        <w:rPr>
          <w:rFonts w:ascii="Times New Roman" w:hAnsi="Times New Roman" w:cs="Times New Roman"/>
        </w:rPr>
        <w:t xml:space="preserve">                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Галоши предназначены для эксплуатации в температурном интервале от </w:t>
      </w:r>
      <w:r w:rsidR="00730085" w:rsidRPr="009712F3">
        <w:rPr>
          <w:rFonts w:ascii="Times New Roman" w:hAnsi="Times New Roman" w:cs="Times New Roman"/>
        </w:rPr>
        <w:t xml:space="preserve"> -</w:t>
      </w:r>
      <w:r w:rsidRPr="009712F3">
        <w:rPr>
          <w:rFonts w:ascii="Times New Roman" w:hAnsi="Times New Roman" w:cs="Times New Roman"/>
        </w:rPr>
        <w:t xml:space="preserve"> 30</w:t>
      </w:r>
      <w:proofErr w:type="gramStart"/>
      <w:r w:rsidR="00730085" w:rsidRPr="009712F3">
        <w:rPr>
          <w:rFonts w:ascii="Cambria Math" w:hAnsi="Cambria Math" w:cs="Cambria Math"/>
        </w:rPr>
        <w:t>⁰</w:t>
      </w:r>
      <w:r w:rsidR="00730085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 xml:space="preserve"> С</w:t>
      </w:r>
      <w:proofErr w:type="gramEnd"/>
      <w:r w:rsidRPr="009712F3">
        <w:rPr>
          <w:rFonts w:ascii="Times New Roman" w:hAnsi="Times New Roman" w:cs="Times New Roman"/>
        </w:rPr>
        <w:t xml:space="preserve"> до</w:t>
      </w:r>
      <w:r w:rsidR="00730085" w:rsidRPr="009712F3">
        <w:rPr>
          <w:rFonts w:ascii="Times New Roman" w:hAnsi="Times New Roman" w:cs="Times New Roman"/>
        </w:rPr>
        <w:t xml:space="preserve"> +</w:t>
      </w:r>
      <w:r w:rsidRPr="009712F3">
        <w:rPr>
          <w:rFonts w:ascii="Times New Roman" w:hAnsi="Times New Roman" w:cs="Times New Roman"/>
        </w:rPr>
        <w:t xml:space="preserve"> 50 С</w:t>
      </w:r>
      <w:r w:rsidR="00730085" w:rsidRPr="009712F3">
        <w:rPr>
          <w:rFonts w:ascii="Cambria Math" w:hAnsi="Cambria Math" w:cs="Cambria Math"/>
        </w:rPr>
        <w:t>⁰</w:t>
      </w:r>
      <w:r w:rsidR="00730085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 xml:space="preserve"> при относительной влажности воздуха до 95%.</w:t>
      </w:r>
    </w:p>
    <w:p w:rsidR="00F81F01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Галоши изготавливаются из синтетического каучука методом формования на прессах с последующей проверкой на пробой высото</w:t>
      </w:r>
      <w:r w:rsidR="00F81F01">
        <w:rPr>
          <w:rFonts w:ascii="Times New Roman" w:hAnsi="Times New Roman" w:cs="Times New Roman"/>
        </w:rPr>
        <w:t>й не менее 70 мм.</w:t>
      </w:r>
    </w:p>
    <w:p w:rsidR="0008389C" w:rsidRPr="009712F3" w:rsidRDefault="0008389C" w:rsidP="00F81F01">
      <w:pPr>
        <w:spacing w:after="0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                    </w:t>
      </w:r>
      <w:r w:rsidR="00F81F01">
        <w:rPr>
          <w:rFonts w:ascii="Times New Roman" w:hAnsi="Times New Roman" w:cs="Times New Roman"/>
        </w:rPr>
        <w:t xml:space="preserve">    </w:t>
      </w:r>
      <w:r w:rsidRPr="009712F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C020D" w:rsidRPr="003C020D" w:rsidRDefault="003C020D" w:rsidP="003C020D">
      <w:pPr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C020D">
        <w:rPr>
          <w:rFonts w:ascii="Times New Roman" w:eastAsia="Times New Roman" w:hAnsi="Times New Roman" w:cs="Times New Roman"/>
          <w:b/>
          <w:lang w:eastAsia="zh-CN"/>
        </w:rPr>
        <w:t xml:space="preserve">Таблица примерного соответствия метрических размеров диэлектрических галош выпускаемых ООО «МЕРИОН-Спецодежда»  </w:t>
      </w:r>
      <w:proofErr w:type="spellStart"/>
      <w:r w:rsidRPr="003C020D">
        <w:rPr>
          <w:rFonts w:ascii="Times New Roman" w:eastAsia="Times New Roman" w:hAnsi="Times New Roman" w:cs="Times New Roman"/>
          <w:b/>
          <w:lang w:eastAsia="zh-CN"/>
        </w:rPr>
        <w:t>штихмасовому</w:t>
      </w:r>
      <w:proofErr w:type="spellEnd"/>
      <w:r w:rsidRPr="003C020D">
        <w:rPr>
          <w:rFonts w:ascii="Times New Roman" w:eastAsia="Times New Roman" w:hAnsi="Times New Roman" w:cs="Times New Roman"/>
          <w:b/>
          <w:lang w:eastAsia="zh-CN"/>
        </w:rPr>
        <w:t xml:space="preserve"> размеру обуви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2"/>
        <w:gridCol w:w="1339"/>
        <w:gridCol w:w="1338"/>
        <w:gridCol w:w="1338"/>
        <w:gridCol w:w="1338"/>
        <w:gridCol w:w="1338"/>
        <w:gridCol w:w="1338"/>
      </w:tblGrid>
      <w:tr w:rsidR="003C020D" w:rsidRPr="003C020D" w:rsidTr="006846D5">
        <w:trPr>
          <w:trHeight w:val="883"/>
        </w:trPr>
        <w:tc>
          <w:tcPr>
            <w:tcW w:w="1541" w:type="dxa"/>
          </w:tcPr>
          <w:p w:rsidR="003C020D" w:rsidRPr="003C020D" w:rsidRDefault="003C020D" w:rsidP="003C020D">
            <w:pPr>
              <w:rPr>
                <w:rFonts w:cs="Times New Roman"/>
              </w:rPr>
            </w:pPr>
            <w:r w:rsidRPr="003C020D">
              <w:rPr>
                <w:rFonts w:cs="Times New Roman"/>
              </w:rPr>
              <w:t>Метрический размер</w:t>
            </w:r>
          </w:p>
        </w:tc>
        <w:tc>
          <w:tcPr>
            <w:tcW w:w="1432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270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277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285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292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300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307</w:t>
            </w:r>
          </w:p>
        </w:tc>
      </w:tr>
      <w:tr w:rsidR="003C020D" w:rsidRPr="003C020D" w:rsidTr="006846D5">
        <w:trPr>
          <w:trHeight w:val="838"/>
        </w:trPr>
        <w:tc>
          <w:tcPr>
            <w:tcW w:w="1541" w:type="dxa"/>
          </w:tcPr>
          <w:p w:rsidR="003C020D" w:rsidRPr="003C020D" w:rsidRDefault="003C020D" w:rsidP="003C020D">
            <w:pPr>
              <w:rPr>
                <w:rFonts w:ascii="Times New Roman" w:hAnsi="Times New Roman" w:cs="Times New Roman"/>
              </w:rPr>
            </w:pPr>
            <w:proofErr w:type="spellStart"/>
            <w:r w:rsidRPr="003C020D">
              <w:t>Штихмасовый</w:t>
            </w:r>
            <w:proofErr w:type="spellEnd"/>
            <w:r w:rsidRPr="003C020D">
              <w:t xml:space="preserve"> размер</w:t>
            </w:r>
          </w:p>
        </w:tc>
        <w:tc>
          <w:tcPr>
            <w:tcW w:w="1432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42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43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44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45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46</w:t>
            </w:r>
          </w:p>
        </w:tc>
        <w:tc>
          <w:tcPr>
            <w:tcW w:w="1433" w:type="dxa"/>
          </w:tcPr>
          <w:p w:rsidR="003C020D" w:rsidRPr="003C020D" w:rsidRDefault="003C020D" w:rsidP="003C020D"/>
          <w:p w:rsidR="003C020D" w:rsidRPr="003C020D" w:rsidRDefault="003C020D" w:rsidP="003C020D">
            <w:pPr>
              <w:jc w:val="center"/>
            </w:pPr>
            <w:r w:rsidRPr="003C020D">
              <w:t>47</w:t>
            </w:r>
          </w:p>
        </w:tc>
      </w:tr>
    </w:tbl>
    <w:p w:rsidR="0008389C" w:rsidRPr="00CC1988" w:rsidRDefault="0008389C" w:rsidP="0008389C">
      <w:pPr>
        <w:rPr>
          <w:rFonts w:ascii="Times New Roman" w:hAnsi="Times New Roman" w:cs="Times New Roman"/>
          <w:b/>
        </w:rPr>
      </w:pPr>
      <w:r w:rsidRPr="00CC1988">
        <w:rPr>
          <w:rFonts w:ascii="Times New Roman" w:hAnsi="Times New Roman" w:cs="Times New Roman"/>
          <w:b/>
        </w:rPr>
        <w:lastRenderedPageBreak/>
        <w:t xml:space="preserve">                </w:t>
      </w:r>
    </w:p>
    <w:p w:rsidR="0008389C" w:rsidRPr="009712F3" w:rsidRDefault="0008389C" w:rsidP="00F81F01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Галоши, выпускаемые предприятием – изготовителем по диэлектрическим свойствам соответствуют следующим требованиям: ток утечки при напряжении</w:t>
      </w:r>
      <w:r w:rsidR="00730085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 xml:space="preserve"> 5 ± 0,135 </w:t>
      </w:r>
      <w:proofErr w:type="spellStart"/>
      <w:r w:rsidRPr="009712F3">
        <w:rPr>
          <w:rFonts w:ascii="Times New Roman" w:hAnsi="Times New Roman" w:cs="Times New Roman"/>
        </w:rPr>
        <w:t>кВ</w:t>
      </w:r>
      <w:proofErr w:type="spellEnd"/>
      <w:r w:rsidRPr="009712F3">
        <w:rPr>
          <w:rFonts w:ascii="Times New Roman" w:hAnsi="Times New Roman" w:cs="Times New Roman"/>
        </w:rPr>
        <w:t xml:space="preserve"> переменного тока частотой </w:t>
      </w:r>
      <w:r w:rsidR="00730085" w:rsidRPr="009712F3">
        <w:rPr>
          <w:rFonts w:ascii="Times New Roman" w:hAnsi="Times New Roman" w:cs="Times New Roman"/>
        </w:rPr>
        <w:t xml:space="preserve"> </w:t>
      </w:r>
      <w:r w:rsidRPr="009712F3">
        <w:rPr>
          <w:rFonts w:ascii="Times New Roman" w:hAnsi="Times New Roman" w:cs="Times New Roman"/>
        </w:rPr>
        <w:t>50 ± 0,5 Гц, приложенного в течени</w:t>
      </w:r>
      <w:proofErr w:type="gramStart"/>
      <w:r w:rsidRPr="009712F3">
        <w:rPr>
          <w:rFonts w:ascii="Times New Roman" w:hAnsi="Times New Roman" w:cs="Times New Roman"/>
        </w:rPr>
        <w:t>и</w:t>
      </w:r>
      <w:proofErr w:type="gramEnd"/>
      <w:r w:rsidRPr="009712F3">
        <w:rPr>
          <w:rFonts w:ascii="Times New Roman" w:hAnsi="Times New Roman" w:cs="Times New Roman"/>
        </w:rPr>
        <w:t xml:space="preserve"> 60 ± 5 сек, не должен превышать 2,5 мА.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 При выпуске на каждом изделии оттиском на </w:t>
      </w:r>
      <w:proofErr w:type="spellStart"/>
      <w:r w:rsidRPr="009712F3">
        <w:rPr>
          <w:rFonts w:ascii="Times New Roman" w:hAnsi="Times New Roman" w:cs="Times New Roman"/>
        </w:rPr>
        <w:t>голеночной</w:t>
      </w:r>
      <w:proofErr w:type="spellEnd"/>
      <w:r w:rsidRPr="009712F3">
        <w:rPr>
          <w:rFonts w:ascii="Times New Roman" w:hAnsi="Times New Roman" w:cs="Times New Roman"/>
        </w:rPr>
        <w:t xml:space="preserve"> части подошвы или штампом 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на голенище  или на трудно удаляемой этикетке должны быть нанесены следующие данные: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наименование изделия;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наименование изготовителя и его товарный знак;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защитные свойства;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размер;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обозначение настоящего технического регламента Таможенного союза,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712F3">
        <w:rPr>
          <w:rFonts w:ascii="Times New Roman" w:hAnsi="Times New Roman" w:cs="Times New Roman"/>
        </w:rPr>
        <w:t>требованиям</w:t>
      </w:r>
      <w:proofErr w:type="gramEnd"/>
      <w:r w:rsidRPr="009712F3">
        <w:rPr>
          <w:rFonts w:ascii="Times New Roman" w:hAnsi="Times New Roman" w:cs="Times New Roman"/>
        </w:rPr>
        <w:t xml:space="preserve"> которого должно соответствовать средство индивидуальной защиты;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единый знак обращения продукции на рынке государств-членов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Таможенного союза;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дату (месяц, год) изготовления;  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сведения о классе защиты и климатическом поясе;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сведения о способах ухода и требованиях к утилизации средства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индивидуальной защиты;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сведения о документе, в соответствии с которым изготовлено средство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 xml:space="preserve">индивидуальной защиты;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Упаковка: Галоши по одной паре упаковывают в пакеты из полиэтиленовой пленки или другого материала по нормативно-технической документации. Пакеты с галошами одного размера в количестве не более 40 пар укладывают в ящик из гофрированного картона по ГОСТ 13514-82 или ГОСТ 13516-72. Кажд</w:t>
      </w:r>
      <w:bookmarkStart w:id="0" w:name="_GoBack"/>
      <w:bookmarkEnd w:id="0"/>
      <w:r w:rsidRPr="009712F3">
        <w:rPr>
          <w:rFonts w:ascii="Times New Roman" w:hAnsi="Times New Roman" w:cs="Times New Roman"/>
        </w:rPr>
        <w:t xml:space="preserve">ый пакет или ящик должны быть снабжены временной инструкцией по эксплуатации галош.  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Утилизация вместе с бытовым мусором без особых ограничений.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Возможно, утилизировать с повторной обработкой сырья, как вторичный ресурс.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Транспортировка: без ограничений, любым видом транспорта, при условии соблюдений всех мер безопасности к продукции: перевозка в индивидуальной упаковке и в транспортной таре, при отсутствии воздействия прямых источников света, в защищенных от влаги условиях, вдали от растворителей, ГСМ и прочих химикатов, при отсутствии условий для механических повреждений.</w:t>
      </w:r>
    </w:p>
    <w:p w:rsidR="0008389C" w:rsidRPr="009712F3" w:rsidRDefault="0008389C" w:rsidP="00F81F01">
      <w:pPr>
        <w:spacing w:after="0" w:line="240" w:lineRule="auto"/>
        <w:rPr>
          <w:rFonts w:ascii="Times New Roman" w:hAnsi="Times New Roman" w:cs="Times New Roman"/>
        </w:rPr>
      </w:pPr>
      <w:r w:rsidRPr="009712F3">
        <w:rPr>
          <w:rFonts w:ascii="Times New Roman" w:hAnsi="Times New Roman" w:cs="Times New Roman"/>
        </w:rPr>
        <w:t>Гарантийный срок хранения при условии соблюдения всех выше указанных условий – 12 месяцев с даты изготовления.</w:t>
      </w:r>
    </w:p>
    <w:sectPr w:rsidR="0008389C" w:rsidRPr="0097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9C"/>
    <w:rsid w:val="00003E02"/>
    <w:rsid w:val="00023C32"/>
    <w:rsid w:val="000269A8"/>
    <w:rsid w:val="0005708B"/>
    <w:rsid w:val="0005760C"/>
    <w:rsid w:val="00070E8E"/>
    <w:rsid w:val="0008389C"/>
    <w:rsid w:val="0009661E"/>
    <w:rsid w:val="000C6300"/>
    <w:rsid w:val="00143A92"/>
    <w:rsid w:val="00157E78"/>
    <w:rsid w:val="001F42FF"/>
    <w:rsid w:val="00215842"/>
    <w:rsid w:val="00292DD0"/>
    <w:rsid w:val="00311C36"/>
    <w:rsid w:val="003A25B8"/>
    <w:rsid w:val="003A70EA"/>
    <w:rsid w:val="003C020D"/>
    <w:rsid w:val="003D30EA"/>
    <w:rsid w:val="00430775"/>
    <w:rsid w:val="00493EC8"/>
    <w:rsid w:val="00582C6F"/>
    <w:rsid w:val="005B5936"/>
    <w:rsid w:val="005D3A8D"/>
    <w:rsid w:val="00615F49"/>
    <w:rsid w:val="00620E14"/>
    <w:rsid w:val="00663D50"/>
    <w:rsid w:val="00664564"/>
    <w:rsid w:val="0069246A"/>
    <w:rsid w:val="006C5B89"/>
    <w:rsid w:val="00724E4F"/>
    <w:rsid w:val="00730085"/>
    <w:rsid w:val="007326C8"/>
    <w:rsid w:val="007A015E"/>
    <w:rsid w:val="00875348"/>
    <w:rsid w:val="008D7784"/>
    <w:rsid w:val="008E6954"/>
    <w:rsid w:val="009712F3"/>
    <w:rsid w:val="009738CB"/>
    <w:rsid w:val="00995F17"/>
    <w:rsid w:val="009C4D49"/>
    <w:rsid w:val="009D5478"/>
    <w:rsid w:val="009E3DE9"/>
    <w:rsid w:val="009E4B97"/>
    <w:rsid w:val="00A019AE"/>
    <w:rsid w:val="00A1248E"/>
    <w:rsid w:val="00AD3996"/>
    <w:rsid w:val="00AD6ED1"/>
    <w:rsid w:val="00B43B48"/>
    <w:rsid w:val="00C22392"/>
    <w:rsid w:val="00C36AF0"/>
    <w:rsid w:val="00C438E5"/>
    <w:rsid w:val="00C57DE6"/>
    <w:rsid w:val="00C63FFC"/>
    <w:rsid w:val="00C83A15"/>
    <w:rsid w:val="00CB4E22"/>
    <w:rsid w:val="00CC1988"/>
    <w:rsid w:val="00CE5A7F"/>
    <w:rsid w:val="00D21193"/>
    <w:rsid w:val="00E11F6A"/>
    <w:rsid w:val="00E76298"/>
    <w:rsid w:val="00E91AE9"/>
    <w:rsid w:val="00EC6805"/>
    <w:rsid w:val="00ED7CAE"/>
    <w:rsid w:val="00F20C98"/>
    <w:rsid w:val="00F81F01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8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Суховеев Андрей</cp:lastModifiedBy>
  <cp:revision>2</cp:revision>
  <dcterms:created xsi:type="dcterms:W3CDTF">2024-02-14T09:38:00Z</dcterms:created>
  <dcterms:modified xsi:type="dcterms:W3CDTF">2024-02-14T09:38:00Z</dcterms:modified>
</cp:coreProperties>
</file>