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2"/>
        <w:jc w:val="center"/>
        <w:rPr>
          <w:lang w:val="ru-RU" w:eastAsia="ru-RU"/>
        </w:rPr>
      </w:pPr>
    </w:p>
    <w:p>
      <w:pPr>
        <w:pStyle w:val="2"/>
        <w:ind w:left="132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ГРУНТ БЕТОН-КОНТАКТ </w:t>
      </w:r>
      <w:r>
        <w:rPr>
          <w:sz w:val="22"/>
          <w:szCs w:val="22"/>
        </w:rPr>
        <w:t>VEZA</w:t>
      </w:r>
      <w:r>
        <w:rPr>
          <w:sz w:val="22"/>
          <w:szCs w:val="22"/>
          <w:lang w:val="ru-RU"/>
        </w:rPr>
        <w:t>-ГАА</w:t>
      </w:r>
    </w:p>
    <w:p>
      <w:pPr>
        <w:pStyle w:val="7"/>
        <w:spacing w:before="1" w:after="1"/>
        <w:rPr>
          <w:b/>
          <w:sz w:val="17"/>
          <w:lang w:val="ru-RU"/>
        </w:rPr>
      </w:pPr>
    </w:p>
    <w:tbl>
      <w:tblPr>
        <w:tblStyle w:val="9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8124"/>
        <w:gridCol w:w="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2256" w:type="dxa"/>
          </w:tcPr>
          <w:p>
            <w:pPr>
              <w:pStyle w:val="11"/>
              <w:spacing w:line="184" w:lineRule="exact"/>
              <w:ind w:left="28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Тип</w:t>
            </w:r>
          </w:p>
        </w:tc>
        <w:tc>
          <w:tcPr>
            <w:tcW w:w="8124" w:type="dxa"/>
          </w:tcPr>
          <w:p>
            <w:pPr>
              <w:pStyle w:val="11"/>
              <w:ind w:right="1283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Грунт адгезионный акрилатный для внутренних и наружных работ, образует шероховатую поверхность, улучшает сцепление отделочных материалов с гладкими основаниями.</w:t>
            </w:r>
          </w:p>
        </w:tc>
        <w:tc>
          <w:tcPr>
            <w:tcW w:w="132" w:type="dxa"/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exact"/>
        </w:trPr>
        <w:tc>
          <w:tcPr>
            <w:tcW w:w="2256" w:type="dxa"/>
            <w:tcBorders>
              <w:bottom w:val="single" w:color="A6A6A6" w:sz="4" w:space="0"/>
            </w:tcBorders>
          </w:tcPr>
          <w:p>
            <w:pPr>
              <w:pStyle w:val="11"/>
              <w:spacing w:before="91"/>
              <w:ind w:left="28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Область применения</w:t>
            </w:r>
          </w:p>
        </w:tc>
        <w:tc>
          <w:tcPr>
            <w:tcW w:w="8124" w:type="dxa"/>
            <w:tcBorders>
              <w:bottom w:val="single" w:color="A6A6A6" w:sz="4" w:space="0"/>
            </w:tcBorders>
          </w:tcPr>
          <w:p>
            <w:pPr>
              <w:pStyle w:val="11"/>
              <w:spacing w:before="96"/>
              <w:ind w:right="71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Предназначен для внутренних и наружных работ для предварительной обработки гладких, слабо впитывающих влагу оснований из монолитного бетона, бетонных балок, кирпича, гипсокартона, старых штукатурок и поверхностей, ранее окрашенных алкидными материалами (после предварительного зашкуривания) перед облицовкой керамической плиткой, нанесением гипсовых, цементных, известковых и декоративных штукатурок.</w:t>
            </w:r>
          </w:p>
        </w:tc>
        <w:tc>
          <w:tcPr>
            <w:tcW w:w="132" w:type="dxa"/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2256" w:type="dxa"/>
          </w:tcPr>
          <w:p>
            <w:pPr>
              <w:pStyle w:val="11"/>
              <w:spacing w:before="112"/>
              <w:ind w:left="28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 на 1 слой</w:t>
            </w:r>
          </w:p>
        </w:tc>
        <w:tc>
          <w:tcPr>
            <w:tcW w:w="8124" w:type="dxa"/>
          </w:tcPr>
          <w:p>
            <w:pPr>
              <w:pStyle w:val="11"/>
              <w:spacing w:before="83"/>
              <w:ind w:right="10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150 – 200 г/кв.м., (5-7 м</w:t>
            </w:r>
            <w:r>
              <w:rPr>
                <w:position w:val="9"/>
                <w:sz w:val="12"/>
                <w:lang w:val="ru-RU"/>
              </w:rPr>
              <w:t>2</w:t>
            </w:r>
            <w:r>
              <w:rPr>
                <w:sz w:val="18"/>
                <w:lang w:val="ru-RU"/>
              </w:rPr>
              <w:t xml:space="preserve">/кг). </w:t>
            </w:r>
          </w:p>
        </w:tc>
        <w:tc>
          <w:tcPr>
            <w:tcW w:w="132" w:type="dxa"/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</w:trPr>
        <w:tc>
          <w:tcPr>
            <w:tcW w:w="2256" w:type="dxa"/>
          </w:tcPr>
          <w:p>
            <w:pPr>
              <w:pStyle w:val="11"/>
              <w:spacing w:before="91"/>
              <w:ind w:left="28" w:right="15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Сухой остаток</w:t>
            </w:r>
          </w:p>
        </w:tc>
        <w:tc>
          <w:tcPr>
            <w:tcW w:w="8124" w:type="dxa"/>
          </w:tcPr>
          <w:p>
            <w:pPr>
              <w:pStyle w:val="11"/>
              <w:spacing w:before="96"/>
              <w:ind w:right="2438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Ок. 55 %</w:t>
            </w:r>
          </w:p>
        </w:tc>
        <w:tc>
          <w:tcPr>
            <w:tcW w:w="132" w:type="dxa"/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</w:trPr>
        <w:tc>
          <w:tcPr>
            <w:tcW w:w="2256" w:type="dxa"/>
          </w:tcPr>
          <w:p>
            <w:pPr>
              <w:pStyle w:val="11"/>
              <w:spacing w:before="92"/>
              <w:ind w:left="28" w:right="15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Плотность</w:t>
            </w:r>
          </w:p>
        </w:tc>
        <w:tc>
          <w:tcPr>
            <w:tcW w:w="8124" w:type="dxa"/>
          </w:tcPr>
          <w:p>
            <w:pPr>
              <w:pStyle w:val="11"/>
              <w:spacing w:before="97"/>
              <w:ind w:right="2438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1,3 - 1,4 кг/л</w:t>
            </w:r>
          </w:p>
        </w:tc>
        <w:tc>
          <w:tcPr>
            <w:tcW w:w="132" w:type="dxa"/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</w:trPr>
        <w:tc>
          <w:tcPr>
            <w:tcW w:w="2256" w:type="dxa"/>
          </w:tcPr>
          <w:p>
            <w:pPr>
              <w:pStyle w:val="11"/>
              <w:spacing w:before="92"/>
              <w:ind w:left="28" w:right="15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Цвет</w:t>
            </w:r>
          </w:p>
        </w:tc>
        <w:tc>
          <w:tcPr>
            <w:tcW w:w="8124" w:type="dxa"/>
          </w:tcPr>
          <w:p>
            <w:pPr>
              <w:pStyle w:val="11"/>
              <w:spacing w:before="97"/>
              <w:ind w:right="2438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Розовый</w:t>
            </w:r>
            <w:bookmarkStart w:id="0" w:name="_GoBack"/>
            <w:bookmarkEnd w:id="0"/>
          </w:p>
        </w:tc>
        <w:tc>
          <w:tcPr>
            <w:tcW w:w="132" w:type="dxa"/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</w:trPr>
        <w:tc>
          <w:tcPr>
            <w:tcW w:w="2256" w:type="dxa"/>
          </w:tcPr>
          <w:p>
            <w:pPr>
              <w:pStyle w:val="11"/>
              <w:spacing w:before="91"/>
              <w:ind w:left="28" w:right="15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Разбавитель</w:t>
            </w:r>
          </w:p>
        </w:tc>
        <w:tc>
          <w:tcPr>
            <w:tcW w:w="8124" w:type="dxa"/>
          </w:tcPr>
          <w:p>
            <w:pPr>
              <w:pStyle w:val="11"/>
              <w:spacing w:before="96"/>
              <w:ind w:right="2438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Вода</w:t>
            </w:r>
          </w:p>
        </w:tc>
        <w:tc>
          <w:tcPr>
            <w:tcW w:w="132" w:type="dxa"/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</w:trPr>
        <w:tc>
          <w:tcPr>
            <w:tcW w:w="2256" w:type="dxa"/>
          </w:tcPr>
          <w:p>
            <w:pPr>
              <w:pStyle w:val="11"/>
              <w:spacing w:before="92"/>
              <w:ind w:left="28" w:right="15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Способ нанесения</w:t>
            </w:r>
          </w:p>
        </w:tc>
        <w:tc>
          <w:tcPr>
            <w:tcW w:w="8124" w:type="dxa"/>
          </w:tcPr>
          <w:p>
            <w:pPr>
              <w:pStyle w:val="11"/>
              <w:spacing w:before="97"/>
              <w:ind w:right="2438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Наносить кистью или валиком</w:t>
            </w:r>
          </w:p>
        </w:tc>
        <w:tc>
          <w:tcPr>
            <w:tcW w:w="132" w:type="dxa"/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exact"/>
        </w:trPr>
        <w:tc>
          <w:tcPr>
            <w:tcW w:w="2256" w:type="dxa"/>
          </w:tcPr>
          <w:p>
            <w:pPr>
              <w:pStyle w:val="11"/>
              <w:spacing w:before="91"/>
              <w:ind w:left="28" w:right="15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Время высыхания при (20±2)  °</w:t>
            </w:r>
            <w:r>
              <w:rPr>
                <w:b/>
                <w:sz w:val="18"/>
              </w:rPr>
              <w:t>C</w:t>
            </w:r>
            <w:r>
              <w:rPr>
                <w:b/>
                <w:sz w:val="18"/>
                <w:lang w:val="ru-RU"/>
              </w:rPr>
              <w:t xml:space="preserve"> и</w:t>
            </w:r>
          </w:p>
          <w:p>
            <w:pPr>
              <w:pStyle w:val="11"/>
              <w:spacing w:before="2"/>
              <w:ind w:left="28" w:right="458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относительной влажности (65±5) %</w:t>
            </w:r>
          </w:p>
        </w:tc>
        <w:tc>
          <w:tcPr>
            <w:tcW w:w="8124" w:type="dxa"/>
          </w:tcPr>
          <w:p>
            <w:pPr>
              <w:pStyle w:val="11"/>
              <w:spacing w:before="96"/>
              <w:ind w:right="10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 час. Штукатурные и облицовочные работы проводить не ранее, чем через 12 часов после нанесения последнего слоя грунтовки.</w:t>
            </w:r>
          </w:p>
        </w:tc>
        <w:tc>
          <w:tcPr>
            <w:tcW w:w="132" w:type="dxa"/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2256" w:type="dxa"/>
          </w:tcPr>
          <w:p>
            <w:pPr>
              <w:pStyle w:val="11"/>
              <w:spacing w:before="93"/>
              <w:ind w:left="28" w:right="652"/>
              <w:rPr>
                <w:b/>
                <w:sz w:val="18"/>
              </w:rPr>
            </w:pPr>
            <w:r>
              <w:rPr>
                <w:b/>
                <w:sz w:val="18"/>
              </w:rPr>
              <w:t>Хранение и транспортировка</w:t>
            </w:r>
          </w:p>
        </w:tc>
        <w:tc>
          <w:tcPr>
            <w:tcW w:w="8124" w:type="dxa"/>
          </w:tcPr>
          <w:p>
            <w:pPr>
              <w:pStyle w:val="11"/>
              <w:spacing w:before="98"/>
              <w:ind w:right="104"/>
              <w:rPr>
                <w:sz w:val="18"/>
                <w:lang w:val="ru-RU"/>
              </w:rPr>
            </w:pPr>
            <w:r>
              <w:rPr>
                <w:rStyle w:val="16"/>
                <w:rFonts w:ascii="Arial" w:hAnsi="Arial" w:cs="Arial"/>
              </w:rPr>
              <w:t xml:space="preserve">Хранить при температуре от 5°С до 35°С, в плотно закрытой таре, предохраняя от воздействия влаги, тепла и прямых солнечных </w:t>
            </w:r>
            <w:r>
              <w:rPr>
                <w:rStyle w:val="16"/>
              </w:rPr>
              <w:t>лучей.</w:t>
            </w:r>
          </w:p>
        </w:tc>
        <w:tc>
          <w:tcPr>
            <w:tcW w:w="132" w:type="dxa"/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2256" w:type="dxa"/>
          </w:tcPr>
          <w:p>
            <w:pPr>
              <w:pStyle w:val="11"/>
              <w:spacing w:before="153"/>
              <w:ind w:left="28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Срок годности</w:t>
            </w:r>
          </w:p>
        </w:tc>
        <w:tc>
          <w:tcPr>
            <w:tcW w:w="8124" w:type="dxa"/>
          </w:tcPr>
          <w:p>
            <w:pPr>
              <w:pStyle w:val="11"/>
              <w:spacing w:before="158"/>
              <w:ind w:left="176" w:right="10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Гарантийный срок хранения в заводской невскрытой упаковке 18 мес.</w:t>
            </w:r>
          </w:p>
        </w:tc>
        <w:tc>
          <w:tcPr>
            <w:tcW w:w="132" w:type="dxa"/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2256" w:type="dxa"/>
            <w:tcBorders>
              <w:bottom w:val="single" w:color="A6A6A6" w:sz="4" w:space="0"/>
            </w:tcBorders>
          </w:tcPr>
          <w:p>
            <w:pPr>
              <w:pStyle w:val="11"/>
              <w:spacing w:before="128"/>
              <w:ind w:left="28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Фасовка</w:t>
            </w:r>
          </w:p>
        </w:tc>
        <w:tc>
          <w:tcPr>
            <w:tcW w:w="8124" w:type="dxa"/>
            <w:tcBorders>
              <w:bottom w:val="single" w:color="A6A6A6" w:sz="4" w:space="0"/>
            </w:tcBorders>
          </w:tcPr>
          <w:p>
            <w:pPr>
              <w:pStyle w:val="11"/>
              <w:spacing w:before="133"/>
              <w:ind w:right="2438"/>
              <w:rPr>
                <w:sz w:val="18"/>
              </w:rPr>
            </w:pPr>
            <w:r>
              <w:rPr>
                <w:rStyle w:val="14"/>
              </w:rPr>
              <w:t>14 кг; 25 кг</w:t>
            </w:r>
          </w:p>
        </w:tc>
        <w:tc>
          <w:tcPr>
            <w:tcW w:w="132" w:type="dxa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0512" w:type="dxa"/>
            <w:gridSpan w:val="3"/>
            <w:tcBorders>
              <w:top w:val="single" w:color="A6A6A6" w:sz="4" w:space="0"/>
            </w:tcBorders>
          </w:tcPr>
          <w:p>
            <w:pPr>
              <w:pStyle w:val="11"/>
              <w:ind w:left="0"/>
              <w:rPr>
                <w:b/>
                <w:sz w:val="18"/>
              </w:rPr>
            </w:pPr>
          </w:p>
          <w:p>
            <w:pPr>
              <w:pStyle w:val="11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ИНСТРУКЦИЯ ПО ПРИМЕНЕНИЮ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256" w:type="dxa"/>
          </w:tcPr>
          <w:p>
            <w:pPr>
              <w:pStyle w:val="11"/>
              <w:spacing w:before="94"/>
              <w:ind w:left="23" w:right="1070"/>
              <w:rPr>
                <w:b/>
                <w:sz w:val="18"/>
              </w:rPr>
            </w:pPr>
            <w:r>
              <w:rPr>
                <w:b/>
                <w:sz w:val="18"/>
              </w:rPr>
              <w:t>Условия при грунтовании</w:t>
            </w:r>
          </w:p>
        </w:tc>
        <w:tc>
          <w:tcPr>
            <w:tcW w:w="8124" w:type="dxa"/>
          </w:tcPr>
          <w:p>
            <w:pPr>
              <w:pStyle w:val="11"/>
              <w:spacing w:before="99"/>
              <w:ind w:right="10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Обрабатываемая поверхность должна быть сухой и чистой, температура воздуха должна быть не менее 5°С, а относительная влажность воздуха ниже 80%.</w:t>
            </w:r>
          </w:p>
        </w:tc>
        <w:tc>
          <w:tcPr>
            <w:tcW w:w="132" w:type="dxa"/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2256" w:type="dxa"/>
          </w:tcPr>
          <w:p>
            <w:pPr>
              <w:pStyle w:val="11"/>
              <w:spacing w:before="92"/>
              <w:ind w:left="23" w:right="600"/>
              <w:rPr>
                <w:b/>
                <w:sz w:val="18"/>
              </w:rPr>
            </w:pPr>
            <w:r>
              <w:rPr>
                <w:b/>
                <w:sz w:val="18"/>
              </w:rPr>
              <w:t>Предварительная Подготовка</w:t>
            </w:r>
          </w:p>
        </w:tc>
        <w:tc>
          <w:tcPr>
            <w:tcW w:w="8124" w:type="dxa"/>
          </w:tcPr>
          <w:p>
            <w:pPr>
              <w:pStyle w:val="11"/>
              <w:spacing w:before="97"/>
              <w:ind w:right="10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Перед нанесением поверхность очистить от грязи, жира, пыли, непрочно держащихся старых покрытий.</w:t>
            </w:r>
          </w:p>
        </w:tc>
        <w:tc>
          <w:tcPr>
            <w:tcW w:w="132" w:type="dxa"/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2256" w:type="dxa"/>
            <w:tcBorders>
              <w:bottom w:val="single" w:color="A6A6A6" w:sz="4" w:space="0"/>
            </w:tcBorders>
          </w:tcPr>
          <w:p>
            <w:pPr>
              <w:pStyle w:val="11"/>
              <w:spacing w:before="91"/>
              <w:ind w:left="23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Грунтование</w:t>
            </w:r>
          </w:p>
        </w:tc>
        <w:tc>
          <w:tcPr>
            <w:tcW w:w="8124" w:type="dxa"/>
            <w:tcBorders>
              <w:bottom w:val="single" w:color="A6A6A6" w:sz="4" w:space="0"/>
            </w:tcBorders>
          </w:tcPr>
          <w:p>
            <w:pPr>
              <w:pStyle w:val="11"/>
              <w:spacing w:before="96"/>
              <w:ind w:right="10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Грунт перед применением тщательно перемешать. Наносить грунтовку кистью или валиком в один слой.</w:t>
            </w:r>
          </w:p>
        </w:tc>
        <w:tc>
          <w:tcPr>
            <w:tcW w:w="132" w:type="dxa"/>
            <w:tcBorders>
              <w:bottom w:val="single" w:color="A6A6A6" w:sz="4" w:space="0"/>
            </w:tcBorders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2" w:type="dxa"/>
          <w:trHeight w:val="489" w:hRule="exact"/>
        </w:trPr>
        <w:tc>
          <w:tcPr>
            <w:tcW w:w="2256" w:type="dxa"/>
          </w:tcPr>
          <w:p>
            <w:pPr>
              <w:pStyle w:val="11"/>
              <w:spacing w:line="240" w:lineRule="auto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11"/>
              <w:spacing w:line="240" w:lineRule="auto"/>
              <w:ind w:lef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Очистка инструментов</w:t>
            </w:r>
          </w:p>
        </w:tc>
        <w:tc>
          <w:tcPr>
            <w:tcW w:w="8124" w:type="dxa"/>
          </w:tcPr>
          <w:p>
            <w:pPr>
              <w:pStyle w:val="11"/>
              <w:spacing w:line="240" w:lineRule="auto"/>
              <w:ind w:right="1862"/>
              <w:jc w:val="left"/>
              <w:rPr>
                <w:sz w:val="18"/>
              </w:rPr>
            </w:pPr>
          </w:p>
          <w:p>
            <w:pPr>
              <w:pStyle w:val="11"/>
              <w:spacing w:line="240" w:lineRule="auto"/>
              <w:ind w:right="1862"/>
              <w:jc w:val="left"/>
              <w:rPr>
                <w:sz w:val="18"/>
              </w:rPr>
            </w:pPr>
            <w:r>
              <w:rPr>
                <w:sz w:val="18"/>
              </w:rPr>
              <w:t>Рабочие инструменты промыть водой.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2" w:type="dxa"/>
          <w:trHeight w:val="902" w:hRule="exact"/>
        </w:trPr>
        <w:tc>
          <w:tcPr>
            <w:tcW w:w="2256" w:type="dxa"/>
          </w:tcPr>
          <w:p>
            <w:pPr>
              <w:pStyle w:val="11"/>
              <w:spacing w:before="11" w:line="240" w:lineRule="auto"/>
              <w:ind w:left="0"/>
              <w:jc w:val="left"/>
              <w:rPr>
                <w:b/>
                <w:sz w:val="16"/>
                <w:lang w:val="ru-RU"/>
              </w:rPr>
            </w:pPr>
          </w:p>
          <w:p>
            <w:pPr>
              <w:pStyle w:val="11"/>
              <w:spacing w:line="240" w:lineRule="auto"/>
              <w:ind w:left="0" w:right="8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ОХРАНА ОКРУЖАЮЩЕЙ СРЕДЫ</w:t>
            </w:r>
          </w:p>
        </w:tc>
        <w:tc>
          <w:tcPr>
            <w:tcW w:w="8124" w:type="dxa"/>
          </w:tcPr>
          <w:p>
            <w:pPr>
              <w:pStyle w:val="11"/>
              <w:spacing w:before="4" w:line="240" w:lineRule="auto"/>
              <w:ind w:left="0"/>
              <w:jc w:val="left"/>
              <w:rPr>
                <w:b/>
                <w:sz w:val="17"/>
                <w:lang w:val="ru-RU"/>
              </w:rPr>
            </w:pPr>
          </w:p>
          <w:p>
            <w:pPr>
              <w:pStyle w:val="11"/>
              <w:spacing w:line="240" w:lineRule="auto"/>
              <w:ind w:right="2977"/>
              <w:jc w:val="lef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Пустые сухие банки утилизировать как бытовые отходы. Остатки грунтовки не выливать в канализацию и водоёмы.</w:t>
            </w:r>
          </w:p>
        </w:tc>
      </w:tr>
    </w:tbl>
    <w:p>
      <w:pPr>
        <w:framePr w:w="10574" w:wrap="notBeside" w:vAnchor="text" w:hAnchor="text" w:xAlign="center" w:y="1"/>
        <w:rPr>
          <w:rFonts w:eastAsia="Arial Unicode MS"/>
          <w:color w:val="000000"/>
          <w:sz w:val="18"/>
          <w:szCs w:val="18"/>
          <w:lang w:val="ru-RU" w:eastAsia="ru-RU" w:bidi="ru-RU"/>
        </w:rPr>
      </w:pPr>
    </w:p>
    <w:p>
      <w:pPr>
        <w:tabs>
          <w:tab w:val="left" w:pos="2546"/>
        </w:tabs>
        <w:spacing w:line="206" w:lineRule="exact"/>
        <w:ind w:left="180"/>
        <w:jc w:val="both"/>
        <w:rPr>
          <w:rFonts w:eastAsia="Arial Unicode MS"/>
          <w:sz w:val="18"/>
          <w:szCs w:val="18"/>
          <w:lang w:val="ru-RU" w:eastAsia="ru-RU" w:bidi="ru-RU"/>
        </w:rPr>
      </w:pPr>
      <w:r>
        <w:rPr>
          <w:rFonts w:eastAsia="Arial Unicode MS"/>
          <w:b/>
          <w:bCs/>
          <w:color w:val="000000"/>
          <w:sz w:val="18"/>
          <w:szCs w:val="18"/>
          <w:shd w:val="clear" w:color="auto" w:fill="FFFFFF"/>
          <w:lang w:val="ru-RU" w:eastAsia="ru-RU" w:bidi="ru-RU"/>
        </w:rPr>
        <w:t>ОХРАНА ТРУДА</w:t>
      </w:r>
      <w:r>
        <w:rPr>
          <w:rFonts w:eastAsia="Arial Unicode MS"/>
          <w:b/>
          <w:bCs/>
          <w:color w:val="000000"/>
          <w:sz w:val="18"/>
          <w:szCs w:val="18"/>
          <w:shd w:val="clear" w:color="auto" w:fill="FFFFFF"/>
          <w:lang w:val="ru-RU" w:eastAsia="ru-RU" w:bidi="ru-RU"/>
        </w:rPr>
        <w:tab/>
      </w:r>
      <w:r>
        <w:rPr>
          <w:rFonts w:eastAsia="Arial Unicode MS"/>
          <w:b/>
          <w:bCs/>
          <w:color w:val="000000"/>
          <w:sz w:val="18"/>
          <w:szCs w:val="18"/>
          <w:shd w:val="clear" w:color="auto" w:fill="FFFFFF"/>
          <w:lang w:val="ru-RU" w:eastAsia="ru-RU" w:bidi="ru-RU"/>
        </w:rPr>
        <w:t xml:space="preserve"> </w:t>
      </w:r>
      <w:r>
        <w:rPr>
          <w:rFonts w:eastAsia="Arial Unicode MS"/>
          <w:sz w:val="18"/>
          <w:szCs w:val="18"/>
          <w:lang w:val="ru-RU" w:eastAsia="ru-RU" w:bidi="ru-RU"/>
        </w:rPr>
        <w:t>Грунт пожаро- и взрывобезопасен, не имеет неприятного запаха.</w:t>
      </w:r>
    </w:p>
    <w:p>
      <w:pPr>
        <w:spacing w:line="206" w:lineRule="exact"/>
        <w:ind w:left="2600"/>
        <w:jc w:val="both"/>
        <w:rPr>
          <w:rFonts w:eastAsia="Arial Unicode MS"/>
          <w:sz w:val="18"/>
          <w:szCs w:val="18"/>
          <w:lang w:val="ru-RU" w:eastAsia="ru-RU" w:bidi="ru-RU"/>
        </w:rPr>
      </w:pPr>
      <w:r>
        <w:rPr>
          <w:rFonts w:eastAsia="Arial Unicode MS"/>
          <w:sz w:val="18"/>
          <w:szCs w:val="18"/>
          <w:lang w:val="ru-RU" w:eastAsia="ru-RU" w:bidi="ru-RU"/>
        </w:rPr>
        <w:t>Не смешивать с другими красками и растворителями.</w:t>
      </w:r>
    </w:p>
    <w:p>
      <w:pPr>
        <w:spacing w:line="206" w:lineRule="exact"/>
        <w:ind w:left="2600"/>
        <w:jc w:val="both"/>
        <w:rPr>
          <w:rFonts w:eastAsia="Arial Unicode MS"/>
          <w:sz w:val="18"/>
          <w:szCs w:val="18"/>
          <w:lang w:val="ru-RU" w:eastAsia="ru-RU" w:bidi="ru-RU"/>
        </w:rPr>
      </w:pPr>
      <w:r>
        <w:rPr>
          <w:rFonts w:eastAsia="Arial Unicode MS"/>
          <w:sz w:val="18"/>
          <w:szCs w:val="18"/>
          <w:lang w:val="ru-RU" w:eastAsia="ru-RU" w:bidi="ru-RU"/>
        </w:rPr>
        <w:t>Избегать попадания в глаза, при попадании промыть большим количеством воды, хранить в недоступном для детей месте.</w:t>
      </w:r>
    </w:p>
    <w:p>
      <w:pPr>
        <w:spacing w:line="206" w:lineRule="exact"/>
        <w:ind w:left="2600"/>
        <w:jc w:val="both"/>
        <w:rPr>
          <w:rFonts w:eastAsia="Arial Unicode MS"/>
          <w:sz w:val="18"/>
          <w:szCs w:val="18"/>
          <w:lang w:val="ru-RU" w:eastAsia="ru-RU" w:bidi="ru-RU"/>
        </w:rPr>
      </w:pPr>
      <w:r>
        <w:rPr>
          <w:rFonts w:eastAsia="Arial Unicode MS"/>
          <w:sz w:val="18"/>
          <w:szCs w:val="18"/>
          <w:lang w:val="ru-RU" w:eastAsia="ru-RU" w:bidi="ru-RU"/>
        </w:rPr>
        <w:t>Проводить работы в проветриваемом помещении.</w:t>
      </w:r>
    </w:p>
    <w:p>
      <w:pPr>
        <w:spacing w:after="360" w:line="206" w:lineRule="exact"/>
        <w:ind w:left="2600"/>
        <w:jc w:val="both"/>
        <w:rPr>
          <w:b/>
          <w:sz w:val="20"/>
          <w:lang w:val="ru-RU"/>
        </w:rPr>
      </w:pPr>
      <w:r>
        <w:rPr>
          <w:rFonts w:eastAsia="Arial Unicode MS"/>
          <w:sz w:val="18"/>
          <w:szCs w:val="18"/>
          <w:lang w:val="ru-RU" w:eastAsia="ru-RU" w:bidi="ru-RU"/>
        </w:rPr>
        <w:t>Для защиты рук применять резиновые перчатки.</w:t>
      </w:r>
    </w:p>
    <w:sectPr>
      <w:headerReference r:id="rId3" w:type="default"/>
      <w:footerReference r:id="rId4" w:type="default"/>
      <w:pgSz w:w="11910" w:h="16840"/>
      <w:pgMar w:top="928" w:right="580" w:bottom="142" w:left="600" w:header="220" w:footer="117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360" w:lineRule="auto"/>
      <w:rPr>
        <w:lang w:val="ru-RU"/>
      </w:rPr>
    </w:pPr>
    <w:r>
      <w:rPr>
        <w:lang w:val="ru-RU" w:eastAsia="ru-RU"/>
      </w:rPr>
      <w:drawing>
        <wp:inline distT="0" distB="0" distL="0" distR="0">
          <wp:extent cx="2320290" cy="511810"/>
          <wp:effectExtent l="0" t="0" r="3810" b="2540"/>
          <wp:docPr id="1" name="Рисунок 1" descr="лого АМ (финал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АМ (финал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4197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ind w:left="-567"/>
    </w:pPr>
    <w:r>
      <w:rPr>
        <w:lang w:val="ru-RU" w:eastAsia="ru-RU"/>
      </w:rPr>
      <w:pict>
        <v:shape id="Прямая со стрелкой 2" o:spid="_x0000_s4097" o:spt="32" type="#_x0000_t32" style="position:absolute;left:0pt;margin-left:4.45pt;margin-top:4.6pt;height:1.7pt;width:474.25pt;z-index:-25165721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">
          <v:path arrowok="t"/>
          <v:fill on="f" focussize="0,0"/>
          <v:stroke weight="2.01pt" color="#3E4BF8" joinstyle="miter"/>
          <v:imagedata o:title=""/>
          <o:lock v:ext="edit"/>
        </v:shape>
      </w:pict>
    </w:r>
    <w:r>
      <w:t xml:space="preserve">       </w:t>
    </w:r>
  </w:p>
  <w:p>
    <w:pPr>
      <w:pStyle w:val="7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4"/>
      <o:rules v:ext="edit">
        <o:r id="V:Rule1" type="connector" idref="#Прямая со стрелкой 2"/>
      </o:rules>
    </o:shapelayout>
  </w:hdrShapeDefaults>
  <w:compat>
    <w:ulTrailSpace/>
    <w:compatSetting w:name="compatibilityMode" w:uri="http://schemas.microsoft.com/office/word" w:val="12"/>
  </w:compat>
  <w:rsids>
    <w:rsidRoot w:val="00745128"/>
    <w:rsid w:val="00040FA6"/>
    <w:rsid w:val="00095A76"/>
    <w:rsid w:val="001E7358"/>
    <w:rsid w:val="00213265"/>
    <w:rsid w:val="00272745"/>
    <w:rsid w:val="002F00C6"/>
    <w:rsid w:val="00362432"/>
    <w:rsid w:val="004062F6"/>
    <w:rsid w:val="00447040"/>
    <w:rsid w:val="0046123F"/>
    <w:rsid w:val="005539EB"/>
    <w:rsid w:val="00563732"/>
    <w:rsid w:val="005C3A6B"/>
    <w:rsid w:val="00636AE4"/>
    <w:rsid w:val="006603DC"/>
    <w:rsid w:val="00695D26"/>
    <w:rsid w:val="00745128"/>
    <w:rsid w:val="007649C4"/>
    <w:rsid w:val="007B31FB"/>
    <w:rsid w:val="00867B0E"/>
    <w:rsid w:val="00922C78"/>
    <w:rsid w:val="00967D9E"/>
    <w:rsid w:val="00A30C32"/>
    <w:rsid w:val="00A818CE"/>
    <w:rsid w:val="00A942A0"/>
    <w:rsid w:val="00AB2FCE"/>
    <w:rsid w:val="00AD5B88"/>
    <w:rsid w:val="00BA6EA1"/>
    <w:rsid w:val="00CB1D7B"/>
    <w:rsid w:val="00D97637"/>
    <w:rsid w:val="00F95F21"/>
    <w:rsid w:val="3B6A5A69"/>
    <w:rsid w:val="460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70"/>
      <w:ind w:left="12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unhideWhenUsed/>
    <w:uiPriority w:val="0"/>
    <w:pPr>
      <w:tabs>
        <w:tab w:val="center" w:pos="4677"/>
        <w:tab w:val="right" w:pos="9355"/>
      </w:tabs>
    </w:pPr>
  </w:style>
  <w:style w:type="paragraph" w:styleId="7">
    <w:name w:val="Body Text"/>
    <w:basedOn w:val="1"/>
    <w:qFormat/>
    <w:uiPriority w:val="1"/>
    <w:rPr>
      <w:sz w:val="14"/>
      <w:szCs w:val="14"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ind w:left="183"/>
    </w:pPr>
  </w:style>
  <w:style w:type="character" w:customStyle="1" w:styleId="12">
    <w:name w:val="Верхний колонтитул Знак"/>
    <w:basedOn w:val="3"/>
    <w:link w:val="6"/>
    <w:qFormat/>
    <w:uiPriority w:val="99"/>
    <w:rPr>
      <w:rFonts w:ascii="Arial" w:hAnsi="Arial" w:eastAsia="Arial" w:cs="Arial"/>
    </w:rPr>
  </w:style>
  <w:style w:type="character" w:customStyle="1" w:styleId="13">
    <w:name w:val="Нижний колонтитул Знак"/>
    <w:basedOn w:val="3"/>
    <w:link w:val="8"/>
    <w:qFormat/>
    <w:uiPriority w:val="99"/>
    <w:rPr>
      <w:rFonts w:ascii="Arial" w:hAnsi="Arial" w:eastAsia="Arial" w:cs="Arial"/>
    </w:rPr>
  </w:style>
  <w:style w:type="character" w:customStyle="1" w:styleId="14">
    <w:name w:val="Основной текст (2) Exact"/>
    <w:basedOn w:val="3"/>
    <w:qFormat/>
    <w:uiPriority w:val="0"/>
    <w:rPr>
      <w:rFonts w:ascii="Arial" w:hAnsi="Arial" w:eastAsia="Arial" w:cs="Arial"/>
      <w:sz w:val="18"/>
      <w:szCs w:val="18"/>
      <w:u w:val="none"/>
    </w:rPr>
  </w:style>
  <w:style w:type="character" w:customStyle="1" w:styleId="15">
    <w:name w:val="Текст выноски Знак"/>
    <w:basedOn w:val="3"/>
    <w:link w:val="5"/>
    <w:semiHidden/>
    <w:qFormat/>
    <w:uiPriority w:val="99"/>
    <w:rPr>
      <w:rFonts w:ascii="Tahoma" w:hAnsi="Tahoma" w:eastAsia="Arial" w:cs="Tahoma"/>
      <w:sz w:val="16"/>
      <w:szCs w:val="16"/>
    </w:rPr>
  </w:style>
  <w:style w:type="character" w:customStyle="1" w:styleId="16">
    <w:name w:val="Основной текст (2)"/>
    <w:basedOn w:val="3"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329</Words>
  <Characters>1876</Characters>
  <Lines>15</Lines>
  <Paragraphs>4</Paragraphs>
  <TotalTime>3</TotalTime>
  <ScaleCrop>false</ScaleCrop>
  <LinksUpToDate>false</LinksUpToDate>
  <CharactersWithSpaces>2201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2020-05-27T11:53:00Z</dcterms:created>
  <dc:creator>Пользователь ПК</dc:creator>
  <cp:lastModifiedBy>WPS_1664799020</cp:lastModifiedBy>
  <cp:lastPrinted>2017-04-17T13:18:00Z</cp:lastPrinted>
  <dcterms:modified xsi:type="dcterms:W3CDTF">2023-10-24T08:45:11Z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2017-02-22T00:00:00Z</vt:filetime>
  </property>
  <property fmtid="{D5CDD505-2E9C-101B-9397-08002B2CF9AE}" pid="5" name="KSOProductBuildVer">
    <vt:lpwstr>1049-12.2.0.13215</vt:lpwstr>
  </property>
  <property fmtid="{D5CDD505-2E9C-101B-9397-08002B2CF9AE}" pid="6" name="ICV">
    <vt:lpwstr>F27F2E1A90A7489E9F39BBF739FF31CB</vt:lpwstr>
  </property>
</Properties>
</file>