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bCs/>
          <w:szCs w:val="21"/>
          <w:lang w:val="ru-RU"/>
        </w:rPr>
        <w:t xml:space="preserve">Руководство пользователя </w:t>
      </w:r>
      <w:r>
        <w:rPr>
          <w:rFonts w:eastAsia="DengXian" w:cs="Calibri" w:ascii="DengXian" w:hAnsi="DengXian"/>
          <w:b/>
          <w:bCs/>
          <w:szCs w:val="21"/>
        </w:rPr>
        <w:t>NU</w:t>
      </w:r>
      <w:r>
        <w:rPr>
          <w:rFonts w:eastAsia="DengXian" w:cs="Calibri" w:ascii="DengXian" w:hAnsi="DengXian"/>
          <w:b/>
          <w:bCs/>
          <w:szCs w:val="21"/>
          <w:lang w:val="ru-RU"/>
        </w:rPr>
        <w:t>31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szCs w:val="21"/>
          <w:lang w:val="ru-RU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szCs w:val="21"/>
          <w:lang w:val="ru-RU"/>
        </w:rPr>
        <w:t>Краткая инструкция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</w:rPr>
      </w:pPr>
      <w:r>
        <w:rPr/>
        <w:drawing>
          <wp:inline distT="0" distB="0" distL="0" distR="0">
            <wp:extent cx="9779000" cy="2449830"/>
            <wp:effectExtent l="0" t="0" r="0" b="0"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</w:rPr>
      </w:pPr>
      <w:r>
        <w:rPr>
          <w:rFonts w:eastAsia="DengXian" w:cs="Calibri" w:ascii="DengXian" w:hAnsi="DengXian"/>
          <w:b/>
          <w:szCs w:val="21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bCs/>
          <w:szCs w:val="21"/>
          <w:lang w:val="ru-RU"/>
        </w:rPr>
      </w:pPr>
      <w:r>
        <w:rPr>
          <w:rFonts w:eastAsia="DengXian" w:cs="Calibri" w:ascii="DengXian" w:hAnsi="DengXian"/>
          <w:b/>
          <w:bCs/>
          <w:szCs w:val="21"/>
          <w:lang w:val="ru-RU"/>
        </w:rPr>
        <w:t>Об устройстве</w:t>
      </w:r>
    </w:p>
    <w:p>
      <w:pPr>
        <w:pStyle w:val="ListParagraph"/>
        <w:numPr>
          <w:ilvl w:val="0"/>
          <w:numId w:val="2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Легкий налобный фонарь, перезаряжаемый посредством USB-C, с тремя источниками света</w:t>
      </w:r>
    </w:p>
    <w:p>
      <w:pPr>
        <w:pStyle w:val="ListParagraph"/>
        <w:numPr>
          <w:ilvl w:val="0"/>
          <w:numId w:val="2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Светодиод основного белого освещения с мощностью до 550 люмен</w:t>
      </w:r>
    </w:p>
    <w:p>
      <w:pPr>
        <w:pStyle w:val="ListParagraph"/>
        <w:numPr>
          <w:ilvl w:val="0"/>
          <w:numId w:val="2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Обладает дополнительным белым освещением с высоким коэффициентом цветопередачи (CRI≥90)</w:t>
      </w:r>
    </w:p>
    <w:p>
      <w:pPr>
        <w:pStyle w:val="ListParagraph"/>
        <w:numPr>
          <w:ilvl w:val="0"/>
          <w:numId w:val="2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Имеет красное освещение, обеспечивающее режим ночного видения</w:t>
      </w:r>
    </w:p>
    <w:p>
      <w:pPr>
        <w:pStyle w:val="ListParagraph"/>
        <w:numPr>
          <w:ilvl w:val="0"/>
          <w:numId w:val="2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Задействует цельную систему оптических линз с различными гранями для отражения однородного и мягкого света</w:t>
      </w:r>
    </w:p>
    <w:p>
      <w:pPr>
        <w:pStyle w:val="ListParagraph"/>
        <w:numPr>
          <w:ilvl w:val="0"/>
          <w:numId w:val="2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Встроенный литий-ионный аккумулятор емкостью в 1800 мАч</w:t>
      </w:r>
    </w:p>
    <w:p>
      <w:pPr>
        <w:pStyle w:val="ListParagraph"/>
        <w:numPr>
          <w:ilvl w:val="0"/>
          <w:numId w:val="2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Встроенная умная система зарядки литий-ионного аккумулятора с зарядным портом USB-C (5В</w:t>
      </w:r>
      <w:r>
        <w:rPr>
          <w:rFonts w:eastAsia="DengXian" w:cs="Cambria Math" w:ascii="Cambria Math" w:hAnsi="Cambria Math"/>
          <w:bCs/>
          <w:szCs w:val="21"/>
          <w:lang w:val="ru-RU"/>
        </w:rPr>
        <w:t>⎓</w:t>
      </w:r>
      <w:r>
        <w:rPr>
          <w:rFonts w:eastAsia="DengXian" w:cs="Calibri" w:ascii="DengXian" w:hAnsi="DengXian"/>
          <w:bCs/>
          <w:szCs w:val="21"/>
          <w:lang w:val="ru-RU"/>
        </w:rPr>
        <w:t>1</w:t>
      </w:r>
      <w:r>
        <w:rPr>
          <w:rFonts w:eastAsia="DengXian" w:cs="DengXian" w:ascii="DengXian" w:hAnsi="DengXian"/>
          <w:bCs/>
          <w:szCs w:val="21"/>
          <w:lang w:val="ru-RU"/>
        </w:rPr>
        <w:t>А</w:t>
      </w:r>
      <w:r>
        <w:rPr>
          <w:rFonts w:eastAsia="DengXian" w:cs="Calibri" w:ascii="DengXian" w:hAnsi="DengXian"/>
          <w:bCs/>
          <w:szCs w:val="21"/>
          <w:lang w:val="ru-RU"/>
        </w:rPr>
        <w:t>)</w:t>
      </w:r>
    </w:p>
    <w:p>
      <w:pPr>
        <w:pStyle w:val="ListParagraph"/>
        <w:numPr>
          <w:ilvl w:val="0"/>
          <w:numId w:val="2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Разработан с двумя кнопками, отличающимися по форме и нажатию, что обеспечивает простое управление одной рукой</w:t>
      </w:r>
    </w:p>
    <w:p>
      <w:pPr>
        <w:pStyle w:val="ListParagraph"/>
        <w:numPr>
          <w:ilvl w:val="0"/>
          <w:numId w:val="2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Имеет 5 уровней яркости, 3 источника света и 3 специальных режима</w:t>
      </w:r>
    </w:p>
    <w:p>
      <w:pPr>
        <w:pStyle w:val="ListParagraph"/>
        <w:numPr>
          <w:ilvl w:val="0"/>
          <w:numId w:val="2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Разработан с 4 индикаторами питания, предназначенных для сообщения уровня заряда аккумулятора</w:t>
      </w:r>
    </w:p>
    <w:p>
      <w:pPr>
        <w:pStyle w:val="ListParagraph"/>
        <w:numPr>
          <w:ilvl w:val="0"/>
          <w:numId w:val="2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Изготовлен из прочного поликарбоната с передним корпусом из алюминиевого сплава</w:t>
      </w:r>
    </w:p>
    <w:p>
      <w:pPr>
        <w:pStyle w:val="ListParagraph"/>
        <w:numPr>
          <w:ilvl w:val="0"/>
          <w:numId w:val="2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Компактный и легкий</w:t>
      </w:r>
    </w:p>
    <w:p>
      <w:pPr>
        <w:pStyle w:val="ListParagraph"/>
        <w:numPr>
          <w:ilvl w:val="0"/>
          <w:numId w:val="2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Ударопрочность при падении с высоты до 1 метра</w:t>
      </w:r>
    </w:p>
    <w:p>
      <w:pPr>
        <w:pStyle w:val="ListParagraph"/>
        <w:numPr>
          <w:ilvl w:val="0"/>
          <w:numId w:val="2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Водо- и пыленепроницаемость в соответствии со степенью защиты IP66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</w:rPr>
      </w:pPr>
      <w:r>
        <w:rPr>
          <w:rFonts w:eastAsia="DengXian" w:cs="Calibri" w:ascii="DengXian" w:hAnsi="DengXian"/>
          <w:szCs w:val="21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</w:rPr>
      </w:pPr>
      <w:r>
        <w:rPr>
          <w:rFonts w:eastAsia="DengXian" w:cs="Calibri" w:ascii="DengXian" w:hAnsi="DengXian"/>
          <w:b/>
          <w:bCs/>
          <w:szCs w:val="21"/>
          <w:lang w:val="ru-RU"/>
        </w:rPr>
        <w:t>Параметры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  <w:t xml:space="preserve">Размеры: 62.3 мм </w:t>
      </w:r>
      <w:r>
        <w:rPr>
          <w:rFonts w:eastAsia="DengXian" w:cs="Calibri" w:ascii="DengXian" w:hAnsi="DengXian"/>
          <w:szCs w:val="21"/>
        </w:rPr>
        <w:t>x</w:t>
      </w:r>
      <w:r>
        <w:rPr>
          <w:rFonts w:eastAsia="DengXian" w:cs="Calibri" w:ascii="DengXian" w:hAnsi="DengXian"/>
          <w:szCs w:val="21"/>
          <w:lang w:val="ru-RU"/>
        </w:rPr>
        <w:t xml:space="preserve"> 46 мм </w:t>
      </w:r>
      <w:r>
        <w:rPr>
          <w:rFonts w:eastAsia="DengXian" w:cs="Calibri" w:ascii="DengXian" w:hAnsi="DengXian"/>
          <w:szCs w:val="21"/>
        </w:rPr>
        <w:t>x</w:t>
      </w:r>
      <w:r>
        <w:rPr>
          <w:rFonts w:eastAsia="DengXian" w:cs="Calibri" w:ascii="DengXian" w:hAnsi="DengXian"/>
          <w:szCs w:val="21"/>
          <w:lang w:val="ru-RU"/>
        </w:rPr>
        <w:t xml:space="preserve"> 35.6 мм (2.45" </w:t>
      </w:r>
      <w:r>
        <w:rPr>
          <w:rFonts w:eastAsia="DengXian" w:cs="Calibri" w:ascii="DengXian" w:hAnsi="DengXian"/>
          <w:szCs w:val="21"/>
        </w:rPr>
        <w:t>x</w:t>
      </w:r>
      <w:r>
        <w:rPr>
          <w:rFonts w:eastAsia="DengXian" w:cs="Calibri" w:ascii="DengXian" w:hAnsi="DengXian"/>
          <w:szCs w:val="21"/>
          <w:lang w:val="ru-RU"/>
        </w:rPr>
        <w:t xml:space="preserve"> 1.81" </w:t>
      </w:r>
      <w:r>
        <w:rPr>
          <w:rFonts w:eastAsia="DengXian" w:cs="Calibri" w:ascii="DengXian" w:hAnsi="DengXian"/>
          <w:szCs w:val="21"/>
        </w:rPr>
        <w:t>x</w:t>
      </w:r>
      <w:r>
        <w:rPr>
          <w:rFonts w:eastAsia="DengXian" w:cs="Calibri" w:ascii="DengXian" w:hAnsi="DengXian"/>
          <w:szCs w:val="21"/>
          <w:lang w:val="ru-RU"/>
        </w:rPr>
        <w:t xml:space="preserve"> 1.40") (с учетом кронштейна)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  <w:t>Вес: 95.5 г (3.37 унции) (с учетом кронштейна и налобного крепления)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  <w:t xml:space="preserve">       </w:t>
      </w:r>
      <w:r>
        <w:rPr>
          <w:rFonts w:eastAsia="DengXian" w:cs="Calibri" w:ascii="DengXian" w:hAnsi="DengXian"/>
          <w:szCs w:val="21"/>
          <w:lang w:val="ru-RU"/>
        </w:rPr>
        <w:t>76 г (2.68 унции) (с учетом кронштейна)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szCs w:val="21"/>
          <w:lang w:val="ru-RU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bCs/>
          <w:szCs w:val="21"/>
          <w:lang w:val="ru-RU"/>
        </w:rPr>
        <w:t>Комплектующие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  <w:t xml:space="preserve">Зарядный кабель </w:t>
      </w:r>
      <w:r>
        <w:rPr>
          <w:rFonts w:eastAsia="DengXian" w:cs="Calibri" w:ascii="DengXian" w:hAnsi="DengXian"/>
          <w:szCs w:val="21"/>
        </w:rPr>
        <w:t>USB</w:t>
      </w:r>
      <w:r>
        <w:rPr>
          <w:rFonts w:eastAsia="DengXian" w:cs="Calibri" w:ascii="DengXian" w:hAnsi="DengXian"/>
          <w:szCs w:val="21"/>
          <w:lang w:val="ru-RU"/>
        </w:rPr>
        <w:t>-</w:t>
      </w:r>
      <w:r>
        <w:rPr>
          <w:rFonts w:eastAsia="DengXian" w:cs="Calibri" w:ascii="DengXian" w:hAnsi="DengXian"/>
          <w:szCs w:val="21"/>
        </w:rPr>
        <w:t>C</w:t>
      </w:r>
      <w:r>
        <w:rPr>
          <w:rFonts w:eastAsia="DengXian" w:cs="Calibri" w:ascii="DengXian" w:hAnsi="DengXian"/>
          <w:szCs w:val="21"/>
          <w:lang w:val="ru-RU"/>
        </w:rPr>
        <w:t>, налобное крепление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color w:val="C00000"/>
          <w:szCs w:val="21"/>
          <w:lang w:val="ru-RU"/>
        </w:rPr>
      </w:pPr>
      <w:r>
        <w:rPr>
          <w:rFonts w:eastAsia="DengXian" w:ascii="DengXian" w:hAnsi="DengXian"/>
          <w:b/>
          <w:bCs/>
          <w:szCs w:val="21"/>
          <w:lang w:val="ru-RU"/>
        </w:rPr>
        <w:t>Технические характеристики</w:t>
      </w:r>
    </w:p>
    <w:tbl>
      <w:tblPr>
        <w:tblStyle w:val="1"/>
        <w:tblW w:w="5000" w:type="pct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2261"/>
        <w:gridCol w:w="1365"/>
        <w:gridCol w:w="1365"/>
        <w:gridCol w:w="1229"/>
        <w:gridCol w:w="1226"/>
        <w:gridCol w:w="1434"/>
        <w:gridCol w:w="1846"/>
        <w:gridCol w:w="1938"/>
        <w:gridCol w:w="1366"/>
        <w:gridCol w:w="1366"/>
      </w:tblGrid>
      <w:tr>
        <w:trPr>
          <w:trHeight w:val="220" w:hRule="atLeast"/>
        </w:trPr>
        <w:tc>
          <w:tcPr>
            <w:tcW w:w="226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w w:val="80"/>
                <w:szCs w:val="21"/>
              </w:rPr>
            </w:pPr>
            <w:r>
              <w:rPr>
                <w:rFonts w:eastAsia="DengXian" w:cs="Calibri" w:ascii="DengXian" w:hAnsi="DengXian"/>
                <w:w w:val="80"/>
                <w:szCs w:val="21"/>
                <w:lang w:val="en-US" w:eastAsia="zh-CN" w:bidi="ar-SA"/>
              </w:rPr>
            </w:r>
          </w:p>
        </w:tc>
        <w:tc>
          <w:tcPr>
            <w:tcW w:w="395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Основное белое освещение</w:t>
            </w:r>
          </w:p>
        </w:tc>
        <w:tc>
          <w:tcPr>
            <w:tcW w:w="266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Дополнительное белое освещение</w:t>
            </w:r>
          </w:p>
        </w:tc>
        <w:tc>
          <w:tcPr>
            <w:tcW w:w="378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Дополнительное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 красное освещение</w:t>
            </w:r>
          </w:p>
        </w:tc>
        <w:tc>
          <w:tcPr>
            <w:tcW w:w="273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Основное белое освещение </w:t>
            </w:r>
          </w:p>
        </w:tc>
      </w:tr>
      <w:tr>
        <w:trPr>
          <w:trHeight w:val="220" w:hRule="atLeast"/>
        </w:trPr>
        <w:tc>
          <w:tcPr>
            <w:tcW w:w="22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w w:val="80"/>
                <w:szCs w:val="21"/>
              </w:rPr>
            </w:pPr>
            <w:r>
              <w:rPr>
                <w:rFonts w:eastAsia="DengXian" w:cs="Calibri" w:ascii="DengXian" w:hAnsi="DengXian"/>
                <w:w w:val="80"/>
                <w:szCs w:val="21"/>
                <w:lang w:val="en-US" w:eastAsia="zh-CN" w:bidi="ar-SA"/>
              </w:rPr>
            </w:r>
          </w:p>
        </w:tc>
        <w:tc>
          <w:tcPr>
            <w:tcW w:w="1365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ТУРБО</w:t>
            </w:r>
          </w:p>
        </w:tc>
        <w:tc>
          <w:tcPr>
            <w:tcW w:w="1365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ВЫСОКИЙ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СРЕДНИЙ</w:t>
            </w:r>
          </w:p>
        </w:tc>
        <w:tc>
          <w:tcPr>
            <w:tcW w:w="122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НИЗКИЙ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СВЕРХНИЗКИЙ</w:t>
            </w:r>
          </w:p>
        </w:tc>
        <w:tc>
          <w:tcPr>
            <w:tcW w:w="184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ПОСТОЯННОЕ ГОРЕНИЕ</w:t>
            </w:r>
          </w:p>
        </w:tc>
        <w:tc>
          <w:tcPr>
            <w:tcW w:w="1938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МЕДЛЕННОЕ МИГАНИЕ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SOS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МАЯК</w:t>
            </w:r>
          </w:p>
        </w:tc>
      </w:tr>
      <w:tr>
        <w:trPr>
          <w:trHeight w:val="272" w:hRule="atLeast"/>
        </w:trPr>
        <w:tc>
          <w:tcPr>
            <w:tcW w:w="2261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highlight w:val="yellow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Яркость</w:t>
            </w:r>
          </w:p>
        </w:tc>
        <w:tc>
          <w:tcPr>
            <w:tcW w:w="1365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 xml:space="preserve">550 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люмен</w:t>
            </w:r>
          </w:p>
        </w:tc>
        <w:tc>
          <w:tcPr>
            <w:tcW w:w="1365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 xml:space="preserve">200 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люмен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 xml:space="preserve">60 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люмен</w:t>
            </w:r>
          </w:p>
        </w:tc>
        <w:tc>
          <w:tcPr>
            <w:tcW w:w="122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 xml:space="preserve">50 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люмен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 xml:space="preserve">6 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люмен</w:t>
            </w:r>
          </w:p>
        </w:tc>
        <w:tc>
          <w:tcPr>
            <w:tcW w:w="184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 xml:space="preserve">5 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люмен</w:t>
            </w:r>
          </w:p>
        </w:tc>
        <w:tc>
          <w:tcPr>
            <w:tcW w:w="1938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 xml:space="preserve">10 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люмен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 xml:space="preserve">550 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люмен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 xml:space="preserve">550 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люмен</w:t>
            </w:r>
          </w:p>
        </w:tc>
      </w:tr>
      <w:tr>
        <w:trPr>
          <w:trHeight w:val="220" w:hRule="atLeast"/>
        </w:trPr>
        <w:tc>
          <w:tcPr>
            <w:tcW w:w="2261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Время работы</w:t>
            </w:r>
          </w:p>
        </w:tc>
        <w:tc>
          <w:tcPr>
            <w:tcW w:w="1365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5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 ч</w:t>
            </w:r>
          </w:p>
        </w:tc>
        <w:tc>
          <w:tcPr>
            <w:tcW w:w="1365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8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 ч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38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 ч</w:t>
            </w:r>
          </w:p>
        </w:tc>
        <w:tc>
          <w:tcPr>
            <w:tcW w:w="122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42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 ч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147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 ч</w:t>
            </w:r>
          </w:p>
        </w:tc>
        <w:tc>
          <w:tcPr>
            <w:tcW w:w="184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80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 ч</w:t>
            </w:r>
          </w:p>
        </w:tc>
        <w:tc>
          <w:tcPr>
            <w:tcW w:w="1938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50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 ч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─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─</w:t>
            </w:r>
          </w:p>
        </w:tc>
      </w:tr>
      <w:tr>
        <w:trPr>
          <w:trHeight w:val="220" w:hRule="atLeast"/>
        </w:trPr>
        <w:tc>
          <w:tcPr>
            <w:tcW w:w="2261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Дальность луча</w:t>
            </w:r>
          </w:p>
        </w:tc>
        <w:tc>
          <w:tcPr>
            <w:tcW w:w="1365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145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 м</w:t>
            </w:r>
          </w:p>
        </w:tc>
        <w:tc>
          <w:tcPr>
            <w:tcW w:w="1365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90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 м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46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 м</w:t>
            </w:r>
          </w:p>
        </w:tc>
        <w:tc>
          <w:tcPr>
            <w:tcW w:w="122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15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 м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6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 м</w:t>
            </w:r>
          </w:p>
        </w:tc>
        <w:tc>
          <w:tcPr>
            <w:tcW w:w="184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5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 м</w:t>
            </w:r>
          </w:p>
        </w:tc>
        <w:tc>
          <w:tcPr>
            <w:tcW w:w="1938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—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─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─</w:t>
            </w:r>
          </w:p>
        </w:tc>
      </w:tr>
      <w:tr>
        <w:trPr>
          <w:trHeight w:val="418" w:hRule="atLeast"/>
        </w:trPr>
        <w:tc>
          <w:tcPr>
            <w:tcW w:w="2261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Пиковая интенсивность луча</w:t>
            </w:r>
          </w:p>
        </w:tc>
        <w:tc>
          <w:tcPr>
            <w:tcW w:w="1365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5,800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 кд</w:t>
            </w:r>
          </w:p>
        </w:tc>
        <w:tc>
          <w:tcPr>
            <w:tcW w:w="1365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2,300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 кд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640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 кд</w:t>
            </w:r>
          </w:p>
        </w:tc>
        <w:tc>
          <w:tcPr>
            <w:tcW w:w="122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58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 кд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10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 кд</w:t>
            </w:r>
          </w:p>
        </w:tc>
        <w:tc>
          <w:tcPr>
            <w:tcW w:w="184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8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 кд</w:t>
            </w:r>
          </w:p>
        </w:tc>
        <w:tc>
          <w:tcPr>
            <w:tcW w:w="1938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—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─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─</w:t>
            </w:r>
          </w:p>
        </w:tc>
      </w:tr>
      <w:tr>
        <w:trPr>
          <w:trHeight w:val="220" w:hRule="atLeast"/>
        </w:trPr>
        <w:tc>
          <w:tcPr>
            <w:tcW w:w="2261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Ударопрочность</w:t>
            </w:r>
          </w:p>
        </w:tc>
        <w:tc>
          <w:tcPr>
            <w:tcW w:w="13135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1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 xml:space="preserve"> м</w:t>
            </w:r>
          </w:p>
        </w:tc>
      </w:tr>
      <w:tr>
        <w:trPr>
          <w:trHeight w:val="227" w:hRule="atLeast"/>
        </w:trPr>
        <w:tc>
          <w:tcPr>
            <w:tcW w:w="2261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Водонепроницаемость</w:t>
            </w:r>
          </w:p>
        </w:tc>
        <w:tc>
          <w:tcPr>
            <w:tcW w:w="13135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IP66</w:t>
            </w:r>
          </w:p>
        </w:tc>
      </w:tr>
    </w:tbl>
    <w:p>
      <w:pPr>
        <w:pStyle w:val="Normal"/>
        <w:spacing w:lineRule="atLeast" w:line="0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b/>
          <w:bCs/>
          <w:szCs w:val="21"/>
          <w:lang w:val="ru-RU"/>
        </w:rPr>
        <w:t xml:space="preserve">Примечание. </w:t>
      </w:r>
      <w:r>
        <w:rPr>
          <w:rFonts w:eastAsia="DengXian" w:cs="Calibri" w:ascii="DengXian" w:hAnsi="DengXian"/>
          <w:szCs w:val="21"/>
          <w:lang w:val="ru-RU"/>
        </w:rPr>
        <w:t xml:space="preserve">Приведенные данные получены в лабораторных условиях при использовании встроенного литий-ионного аккумулятора (3.7 В, 1800 мАч). Характеристики при эксплуатации могут отличаться от приведенных вследствие влияния различных факторов окружающей среды. 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</w:rPr>
      </w:pPr>
      <w:r>
        <w:rPr>
          <w:rFonts w:eastAsia="DengXian" w:cs="Calibri" w:ascii="DengXian" w:hAnsi="DengXian"/>
          <w:szCs w:val="21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bCs/>
          <w:szCs w:val="21"/>
          <w:lang w:val="ru-RU"/>
        </w:rPr>
      </w:pPr>
      <w:r>
        <w:rPr>
          <w:rFonts w:eastAsia="DengXian" w:cs="Calibri" w:ascii="DengXian" w:hAnsi="DengXian"/>
          <w:b/>
          <w:bCs/>
          <w:szCs w:val="21"/>
          <w:lang w:val="ru-RU"/>
        </w:rPr>
        <w:t>Время работы в зависимости от выбранного режима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bCs/>
          <w:szCs w:val="21"/>
          <w:lang w:val="ru-RU"/>
        </w:rPr>
      </w:pPr>
      <w:r>
        <w:rPr>
          <w:rFonts w:eastAsia="DengXian" w:cs="Calibri" w:ascii="DengXian" w:hAnsi="DengXian"/>
          <w:b/>
          <w:bCs/>
          <w:szCs w:val="21"/>
          <w:lang w:val="ru-RU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</w:rPr>
      </w:pPr>
      <w:r>
        <w:rPr/>
        <w:drawing>
          <wp:inline distT="0" distB="0" distL="0" distR="0">
            <wp:extent cx="7597775" cy="3168650"/>
            <wp:effectExtent l="0" t="0" r="0" b="0"/>
            <wp:docPr id="2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775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color w:val="C00000"/>
          <w:szCs w:val="21"/>
        </w:rPr>
      </w:pPr>
      <w:r>
        <w:rPr>
          <w:rFonts w:eastAsia="DengXian" w:cs="Calibri" w:ascii="DengXian" w:hAnsi="DengXian"/>
          <w:color w:val="C00000"/>
          <w:szCs w:val="21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color w:val="C00000"/>
          <w:szCs w:val="21"/>
        </w:rPr>
      </w:pPr>
      <w:r>
        <w:rPr>
          <w:rFonts w:eastAsia="DengXian" w:cs="Calibri" w:ascii="DengXian" w:hAnsi="DengXian"/>
          <w:color w:val="C00000"/>
          <w:szCs w:val="21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color w:val="C00000"/>
          <w:szCs w:val="21"/>
        </w:rPr>
      </w:pPr>
      <w:r>
        <w:rPr>
          <w:rFonts w:eastAsia="DengXian" w:cs="Calibri" w:ascii="DengXian" w:hAnsi="DengXian"/>
          <w:color w:val="C00000"/>
          <w:szCs w:val="21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bCs/>
          <w:szCs w:val="21"/>
          <w:lang w:val="ru-RU"/>
        </w:rPr>
      </w:pPr>
      <w:r>
        <w:drawing>
          <wp:anchor behindDoc="0" distT="0" distB="0" distL="114300" distR="0" simplePos="0" locked="0" layoutInCell="0" allowOverlap="1" relativeHeight="4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198370" cy="1163320"/>
            <wp:effectExtent l="0" t="0" r="0" b="0"/>
            <wp:wrapSquare wrapText="bothSides"/>
            <wp:docPr id="3" name="图片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DengXian" w:cs="Calibri" w:ascii="DengXian" w:hAnsi="DengXian"/>
          <w:b/>
          <w:bCs/>
          <w:szCs w:val="21"/>
          <w:lang w:val="ru-RU"/>
        </w:rPr>
        <w:t>Зарядка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</w:rPr>
        <w:t>NU</w:t>
      </w:r>
      <w:r>
        <w:rPr>
          <w:rFonts w:eastAsia="DengXian" w:cs="Calibri" w:ascii="DengXian" w:hAnsi="DengXian"/>
          <w:szCs w:val="21"/>
          <w:lang w:val="ru-RU"/>
        </w:rPr>
        <w:t>31 оснащен умной системой зарядки. Пожалуйста, подзарядите аккумулятор перед первой эксплуатацией.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bCs/>
          <w:szCs w:val="21"/>
          <w:lang w:val="ru-RU"/>
        </w:rPr>
      </w:pPr>
      <w:r>
        <w:rPr>
          <w:rFonts w:eastAsia="DengXian" w:cs="Calibri" w:ascii="DengXian" w:hAnsi="DengXian"/>
          <w:b/>
          <w:bCs/>
          <w:szCs w:val="21"/>
          <w:lang w:val="ru-RU"/>
        </w:rPr>
        <w:t xml:space="preserve">Подключение к внешнему источнику питания: </w:t>
      </w:r>
      <w:r>
        <w:rPr>
          <w:rFonts w:eastAsia="DengXian" w:cs="Calibri" w:ascii="DengXian" w:hAnsi="DengXian"/>
          <w:szCs w:val="21"/>
          <w:lang w:val="ru-RU"/>
        </w:rPr>
        <w:t xml:space="preserve">откройте крышку порта зарядки, как показано на иллюстрации, и используйте </w:t>
      </w:r>
      <w:r>
        <w:rPr>
          <w:rFonts w:eastAsia="DengXian" w:cs="Calibri" w:ascii="DengXian" w:hAnsi="DengXian"/>
          <w:szCs w:val="21"/>
        </w:rPr>
        <w:t>USB</w:t>
      </w:r>
      <w:r>
        <w:rPr>
          <w:rFonts w:eastAsia="DengXian" w:cs="Calibri" w:ascii="DengXian" w:hAnsi="DengXian"/>
          <w:szCs w:val="21"/>
          <w:lang w:val="ru-RU"/>
        </w:rPr>
        <w:t xml:space="preserve">-кабель для подключения внешнего источника питания (например, </w:t>
      </w:r>
      <w:r>
        <w:rPr>
          <w:rFonts w:eastAsia="DengXian" w:cs="Calibri" w:ascii="DengXian" w:hAnsi="DengXian"/>
          <w:szCs w:val="21"/>
        </w:rPr>
        <w:t>USB</w:t>
      </w:r>
      <w:r>
        <w:rPr>
          <w:rFonts w:eastAsia="DengXian" w:cs="Calibri" w:ascii="DengXian" w:hAnsi="DengXian"/>
          <w:szCs w:val="21"/>
          <w:lang w:val="ru-RU"/>
        </w:rPr>
        <w:t xml:space="preserve">-адаптера или иного зарядного устройства, поддерживающего </w:t>
      </w:r>
      <w:r>
        <w:rPr>
          <w:rFonts w:eastAsia="DengXian" w:cs="Calibri" w:ascii="DengXian" w:hAnsi="DengXian"/>
          <w:szCs w:val="21"/>
        </w:rPr>
        <w:t>USB</w:t>
      </w:r>
      <w:r>
        <w:rPr>
          <w:rFonts w:eastAsia="DengXian" w:cs="Calibri" w:ascii="DengXian" w:hAnsi="DengXian"/>
          <w:szCs w:val="21"/>
          <w:lang w:val="ru-RU"/>
        </w:rPr>
        <w:t>-соединение) к порту зарядки, чтобы начался заряд аккумулятора.</w:t>
      </w:r>
      <w:r>
        <w:rPr>
          <w:rFonts w:eastAsia="DengXian" w:cs="Calibri" w:ascii="DengXian" w:hAnsi="DengXian"/>
          <w:b/>
          <w:bCs/>
          <w:szCs w:val="21"/>
          <w:lang w:val="ru-RU"/>
        </w:rPr>
        <w:t xml:space="preserve"> </w:t>
      </w:r>
      <w:r>
        <w:rPr>
          <w:rFonts w:eastAsia="DengXian" w:cs="Calibri" w:ascii="DengXian" w:hAnsi="DengXian"/>
          <w:szCs w:val="21"/>
          <w:lang w:val="ru-RU"/>
        </w:rPr>
        <w:t>Время зарядки составляет примерно 3 часа (при зарядке посредством адаптера 5В/1А). При полном заряде время работы в режиме ожидания составляет приблизительно 12 месяцев.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b/>
          <w:bCs/>
          <w:szCs w:val="21"/>
          <w:lang w:val="ru-RU"/>
        </w:rPr>
        <w:t xml:space="preserve">Сообщение статуса зарядки: </w:t>
      </w:r>
      <w:r>
        <w:rPr>
          <w:rFonts w:eastAsia="DengXian" w:cs="Calibri" w:ascii="DengXian" w:hAnsi="DengXian"/>
          <w:szCs w:val="21"/>
          <w:lang w:val="ru-RU"/>
        </w:rPr>
        <w:t xml:space="preserve">во время зарядки 4 расположенных сбоку индикатора питания будут мигать, информируя таким образом пользователя. Когда аккумулятор будет полностью заряжен, 4 индикатора питания начнут беспрерывно гореть. 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bCs/>
          <w:szCs w:val="21"/>
          <w:lang w:val="ru-RU"/>
        </w:rPr>
      </w:pPr>
      <w:r>
        <w:rPr>
          <w:rFonts w:eastAsia="DengXian" w:cs="Calibri" w:ascii="DengXian" w:hAnsi="DengXian"/>
          <w:b/>
          <w:bCs/>
          <w:szCs w:val="21"/>
          <w:lang w:val="ru-RU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drawing>
          <wp:anchor behindDoc="0" distT="0" distB="0" distL="114300" distR="0" simplePos="0" locked="0" layoutInCell="0" allowOverlap="1" relativeHeight="5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253615" cy="1323975"/>
            <wp:effectExtent l="0" t="0" r="0" b="0"/>
            <wp:wrapSquare wrapText="bothSides"/>
            <wp:docPr id="4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DengXian" w:cs="Calibri" w:ascii="DengXian" w:hAnsi="DengXian"/>
          <w:b/>
          <w:szCs w:val="21"/>
          <w:lang w:val="ru-RU"/>
        </w:rPr>
        <w:t>Инструкция по эксплуатации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szCs w:val="21"/>
          <w:lang w:val="ru-RU"/>
        </w:rPr>
        <w:t>Кнопка питания / кнопка режима</w:t>
      </w:r>
    </w:p>
    <w:p>
      <w:pPr>
        <w:pStyle w:val="ListParagraph"/>
        <w:numPr>
          <w:ilvl w:val="0"/>
          <w:numId w:val="3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Кнопка питания используется для включения / выключения освещения и регулирования уровня яркости.</w:t>
      </w:r>
      <w:r>
        <w:rPr>
          <w:lang w:val="ru-RU"/>
        </w:rPr>
        <w:t xml:space="preserve"> </w:t>
      </w:r>
    </w:p>
    <w:p>
      <w:pPr>
        <w:pStyle w:val="ListParagraph"/>
        <w:numPr>
          <w:ilvl w:val="0"/>
          <w:numId w:val="3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Кнопка режима (</w:t>
      </w:r>
      <w:r>
        <w:rPr>
          <w:rFonts w:eastAsia="DengXian" w:cs="Calibri" w:ascii="DengXian" w:hAnsi="DengXian"/>
          <w:bCs/>
          <w:szCs w:val="21"/>
        </w:rPr>
        <w:t>MODE</w:t>
      </w:r>
      <w:r>
        <w:rPr>
          <w:rFonts w:eastAsia="DengXian" w:cs="Calibri" w:ascii="DengXian" w:hAnsi="DengXian"/>
          <w:bCs/>
          <w:szCs w:val="21"/>
          <w:lang w:val="ru-RU"/>
        </w:rPr>
        <w:t>) предназначена для переключения между источниками света.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szCs w:val="21"/>
          <w:lang w:val="ru-RU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szCs w:val="21"/>
          <w:lang w:val="ru-RU"/>
        </w:rPr>
        <w:t>Основное белое освещение</w:t>
      </w:r>
    </w:p>
    <w:p>
      <w:pPr>
        <w:pStyle w:val="ListParagraph"/>
        <w:numPr>
          <w:ilvl w:val="0"/>
          <w:numId w:val="4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Когда устройство находится в выключенном состоянии, зажмите и удерживайте кнопку питания в течение 1 секунды, чтобы перевести устройство в режим СРЕДНЕГО уровня яркости.</w:t>
      </w:r>
    </w:p>
    <w:p>
      <w:pPr>
        <w:pStyle w:val="ListParagraph"/>
        <w:numPr>
          <w:ilvl w:val="0"/>
          <w:numId w:val="4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Во время работы основного белого освещения кратковременно нажимайте на кнопку питания, чтобы переключаться между следующими уровнями яркости: СРЕДНИЙ – ВЫСОКИЙ – ТУРБО.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szCs w:val="21"/>
          <w:lang w:val="ru-RU"/>
        </w:rPr>
        <w:t>Примечание. При длительной активации яркость в режиме ТУРБО будет снижаться во избежание перегрева аккумулятора и ради продления его срока службы.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szCs w:val="21"/>
          <w:lang w:val="ru-RU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szCs w:val="21"/>
          <w:lang w:val="ru-RU"/>
        </w:rPr>
        <w:t>Дополнительное белое освещение</w:t>
      </w:r>
    </w:p>
    <w:p>
      <w:pPr>
        <w:pStyle w:val="ListParagraph"/>
        <w:numPr>
          <w:ilvl w:val="0"/>
          <w:numId w:val="5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Когда устройство находится в выключенном состоянии, дважды нажмите на кнопку питания для активации дополнительного белого освещения.</w:t>
      </w:r>
    </w:p>
    <w:p>
      <w:pPr>
        <w:pStyle w:val="ListParagraph"/>
        <w:numPr>
          <w:ilvl w:val="0"/>
          <w:numId w:val="5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Во время работы дополнительного белого освещения кратковременно нажимайте на кнопку питания, чтобы переключаться между СВЕРХНИЗКИМ и НИЗКИМ уровнями яркости.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szCs w:val="21"/>
          <w:lang w:val="ru-RU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szCs w:val="21"/>
          <w:lang w:val="ru-RU"/>
        </w:rPr>
        <w:t>Дополнительное красное освещение</w:t>
      </w:r>
    </w:p>
    <w:p>
      <w:pPr>
        <w:pStyle w:val="ListParagraph"/>
        <w:numPr>
          <w:ilvl w:val="0"/>
          <w:numId w:val="6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Когда устройство находится в выключенном состоянии, зажмите и удерживайте кнопку режима (MODE) в течение 1 секунды для активации дополнительного красного освещения.</w:t>
      </w:r>
    </w:p>
    <w:p>
      <w:pPr>
        <w:pStyle w:val="ListParagraph"/>
        <w:numPr>
          <w:ilvl w:val="0"/>
          <w:numId w:val="6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Во время работы дополнительного красного освещения кратковременно нажимайте на кнопку питания, чтобы переключиться между режимами ПОСТОЯННОЕ ГОРЕНИЕ и МЕДЛЕННОЕ МИГАНИЕ.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szCs w:val="21"/>
          <w:lang w:val="ru-RU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szCs w:val="21"/>
          <w:lang w:val="ru-RU"/>
        </w:rPr>
        <w:t>Выключение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Когда устройство находится во включенном состоянии, зажмите и удерживайте кнопку питания или кнопку режима (MODE) в течение 1 секунды, чтобы его выключить.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</w:rPr>
      </w:pPr>
      <w:r>
        <w:rPr>
          <w:rFonts w:eastAsia="DengXian" w:cs="Calibri" w:ascii="DengXian" w:hAnsi="DengXian"/>
          <w:b/>
          <w:szCs w:val="21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bCs/>
          <w:szCs w:val="21"/>
          <w:lang w:val="ru-RU"/>
        </w:rPr>
      </w:pPr>
      <w:r>
        <w:rPr>
          <w:rFonts w:eastAsia="DengXian" w:cs="Calibri" w:ascii="DengXian" w:hAnsi="DengXian"/>
          <w:b/>
          <w:bCs/>
          <w:szCs w:val="21"/>
          <w:lang w:val="ru-RU"/>
        </w:rPr>
        <w:t>Переключение между источниками света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При нахождении фонаря во включённом состоянии кратковременно нажимайте на кнопку режима (</w:t>
      </w:r>
      <w:r>
        <w:rPr>
          <w:rFonts w:eastAsia="DengXian" w:cs="Calibri" w:ascii="DengXian" w:hAnsi="DengXian"/>
          <w:bCs/>
          <w:szCs w:val="21"/>
        </w:rPr>
        <w:t>MODE</w:t>
      </w:r>
      <w:r>
        <w:rPr>
          <w:rFonts w:eastAsia="DengXian" w:cs="Calibri" w:ascii="DengXian" w:hAnsi="DengXian"/>
          <w:bCs/>
          <w:szCs w:val="21"/>
          <w:lang w:val="ru-RU"/>
        </w:rPr>
        <w:t>), чтобы переключаться между режимами основного белого освещения, дополнительного белого освещения и дополнительного красного освещения.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</w:rPr>
      </w:pPr>
      <w:r>
        <w:rPr>
          <w:rFonts w:eastAsia="DengXian" w:cs="Calibri" w:ascii="DengXian" w:hAnsi="DengXian"/>
          <w:szCs w:val="21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szCs w:val="21"/>
          <w:lang w:val="ru-RU"/>
        </w:rPr>
        <w:t>Специальные режимы (</w:t>
      </w:r>
      <w:r>
        <w:rPr>
          <w:rFonts w:eastAsia="DengXian" w:cs="Calibri" w:ascii="DengXian" w:hAnsi="DengXian"/>
          <w:b/>
          <w:szCs w:val="21"/>
        </w:rPr>
        <w:t>SOS</w:t>
      </w:r>
      <w:r>
        <w:rPr>
          <w:rFonts w:eastAsia="DengXian" w:cs="Calibri" w:ascii="DengXian" w:hAnsi="DengXian"/>
          <w:b/>
          <w:szCs w:val="21"/>
          <w:lang w:val="ru-RU"/>
        </w:rPr>
        <w:t xml:space="preserve"> / МАЯК)</w:t>
      </w:r>
    </w:p>
    <w:p>
      <w:pPr>
        <w:pStyle w:val="ListParagraph"/>
        <w:numPr>
          <w:ilvl w:val="0"/>
          <w:numId w:val="7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При нахождении налобного фонаря в любом из режимов дважды нажмите на кнопку режима (</w:t>
      </w:r>
      <w:r>
        <w:rPr>
          <w:rFonts w:eastAsia="DengXian" w:cs="Calibri" w:ascii="DengXian" w:hAnsi="DengXian"/>
          <w:bCs/>
          <w:szCs w:val="21"/>
        </w:rPr>
        <w:t>MODE</w:t>
      </w:r>
      <w:r>
        <w:rPr>
          <w:rFonts w:eastAsia="DengXian" w:cs="Calibri" w:ascii="DengXian" w:hAnsi="DengXian"/>
          <w:bCs/>
          <w:szCs w:val="21"/>
          <w:lang w:val="ru-RU"/>
        </w:rPr>
        <w:t xml:space="preserve">), чтобы перевести устройство в режим </w:t>
      </w:r>
      <w:r>
        <w:rPr>
          <w:rFonts w:eastAsia="DengXian" w:cs="Calibri" w:ascii="DengXian" w:hAnsi="DengXian"/>
          <w:bCs/>
          <w:szCs w:val="21"/>
        </w:rPr>
        <w:t>SOS</w:t>
      </w:r>
      <w:r>
        <w:rPr>
          <w:rFonts w:eastAsia="DengXian" w:cs="Calibri" w:ascii="DengXian" w:hAnsi="DengXian"/>
          <w:bCs/>
          <w:szCs w:val="21"/>
          <w:lang w:val="ru-RU"/>
        </w:rPr>
        <w:t>.</w:t>
      </w:r>
    </w:p>
    <w:p>
      <w:pPr>
        <w:pStyle w:val="ListParagraph"/>
        <w:numPr>
          <w:ilvl w:val="0"/>
          <w:numId w:val="7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 xml:space="preserve">Когда активирован какой-либо из специальных режимов, кратковременно нажимайте на кнопку питания, чтобы переключаться между режимами </w:t>
      </w:r>
      <w:r>
        <w:rPr>
          <w:rFonts w:eastAsia="DengXian" w:cs="Calibri" w:ascii="DengXian" w:hAnsi="DengXian"/>
          <w:bCs/>
          <w:szCs w:val="21"/>
        </w:rPr>
        <w:t>SOS</w:t>
      </w:r>
      <w:r>
        <w:rPr>
          <w:rFonts w:eastAsia="DengXian" w:cs="Calibri" w:ascii="DengXian" w:hAnsi="DengXian"/>
          <w:bCs/>
          <w:szCs w:val="21"/>
          <w:lang w:val="ru-RU"/>
        </w:rPr>
        <w:t xml:space="preserve"> и МАЯК. Дважды нажмите на кнопку режима (</w:t>
      </w:r>
      <w:r>
        <w:rPr>
          <w:rFonts w:eastAsia="DengXian" w:cs="Calibri" w:ascii="DengXian" w:hAnsi="DengXian"/>
          <w:bCs/>
          <w:szCs w:val="21"/>
        </w:rPr>
        <w:t>MODE</w:t>
      </w:r>
      <w:r>
        <w:rPr>
          <w:rFonts w:eastAsia="DengXian" w:cs="Calibri" w:ascii="DengXian" w:hAnsi="DengXian"/>
          <w:bCs/>
          <w:szCs w:val="21"/>
          <w:lang w:val="ru-RU"/>
        </w:rPr>
        <w:t>) еще раз, чтобы вернуть фонарь к прежнему состоянию.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</w:rPr>
      </w:pPr>
      <w:r>
        <w:rPr>
          <w:rFonts w:eastAsia="DengXian" w:cs="Calibri" w:ascii="DengXian" w:hAnsi="DengXian"/>
          <w:b/>
          <w:szCs w:val="21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szCs w:val="21"/>
          <w:lang w:val="ru-RU"/>
        </w:rPr>
        <w:t>Блокировка / разблокировка</w:t>
      </w:r>
    </w:p>
    <w:p>
      <w:pPr>
        <w:pStyle w:val="ListParagraph"/>
        <w:numPr>
          <w:ilvl w:val="0"/>
          <w:numId w:val="8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При нахождении фонаря в выключенном состоянии зажмите и удерживайте обе кнопки в течение 2 секунд, пока светодиод основного белого освещения не мигнет 3 раза, информируя таким образом пользователя о переводе устройства в режим блокировки. В режиме блокировки любые уровни яркости, а также специальные режимы перестают быть доступны, а при нажатии на любую из кнопок фонарь будет однократно мигать, сообщая таким образом о нахождении устройства в режиме блокировки.</w:t>
      </w:r>
    </w:p>
    <w:p>
      <w:pPr>
        <w:pStyle w:val="ListParagraph"/>
        <w:numPr>
          <w:ilvl w:val="0"/>
          <w:numId w:val="8"/>
        </w:numPr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В режиме блокировки снова зажмите и удерживайте обе кнопки в течение 2 секунд, пока устройство не будет переведено в режим СВЕРХНИЗКОГО уровня яркости, что будет означать выход из режима блокировки.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szCs w:val="21"/>
          <w:lang w:val="ru-RU"/>
        </w:rPr>
        <w:t>Примечание. Находящийся в режиме блокировки налобный фонарь будет автоматически разблокирован при подключении к источнику питания.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szCs w:val="21"/>
          <w:lang w:val="ru-RU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szCs w:val="21"/>
          <w:lang w:val="ru-RU"/>
        </w:rPr>
        <w:t>Сообщение уровня заряда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  <w:t>При нахождении фонаря в выключенном состоянии кратковременно нажмите на кнопку режима (</w:t>
      </w:r>
      <w:r>
        <w:rPr>
          <w:rFonts w:eastAsia="DengXian" w:cs="Calibri" w:ascii="DengXian" w:hAnsi="DengXian"/>
          <w:bCs/>
          <w:szCs w:val="21"/>
        </w:rPr>
        <w:t>MODE</w:t>
      </w:r>
      <w:r>
        <w:rPr>
          <w:rFonts w:eastAsia="DengXian" w:cs="Calibri" w:ascii="DengXian" w:hAnsi="DengXian"/>
          <w:bCs/>
          <w:szCs w:val="21"/>
          <w:lang w:val="ru-RU"/>
        </w:rPr>
        <w:t>), и соответствующие индикаторы питания, находящиеся сбоку, по очереди загорятся и погаснут через 2 секунды.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/>
          <w:szCs w:val="21"/>
          <w:lang w:val="ru-RU"/>
        </w:rPr>
        <w:t>Примечание.</w:t>
      </w:r>
      <w:r>
        <w:rPr>
          <w:rFonts w:eastAsia="DengXian" w:cs="Calibri" w:ascii="DengXian" w:hAnsi="DengXian"/>
          <w:bCs/>
          <w:szCs w:val="21"/>
          <w:lang w:val="ru-RU"/>
        </w:rPr>
        <w:t xml:space="preserve"> Аккумулятор необходимо зарядить, если освещение кажется тусклым или налобный фонарь перестает реагировать на команды вследствие низкого уровня заряда.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Cs/>
          <w:szCs w:val="21"/>
          <w:lang w:val="ru-RU"/>
        </w:rPr>
      </w:pPr>
      <w:r>
        <w:rPr>
          <w:rFonts w:eastAsia="DengXian" w:cs="Calibri" w:ascii="DengXian" w:hAnsi="DengXian"/>
          <w:bCs/>
          <w:szCs w:val="21"/>
          <w:lang w:val="ru-RU"/>
        </w:rPr>
      </w:r>
    </w:p>
    <w:tbl>
      <w:tblPr>
        <w:tblStyle w:val="a9"/>
        <w:tblpPr w:vertAnchor="text" w:horzAnchor="page" w:leftFromText="180" w:rightFromText="180" w:tblpX="1055" w:tblpY="130"/>
        <w:tblW w:w="538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5"/>
        <w:gridCol w:w="2976"/>
      </w:tblGrid>
      <w:tr>
        <w:trPr/>
        <w:tc>
          <w:tcPr>
            <w:tcW w:w="2405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Состояние индикаторов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Уровень заряда</w:t>
            </w:r>
          </w:p>
        </w:tc>
      </w:tr>
      <w:tr>
        <w:trPr/>
        <w:tc>
          <w:tcPr>
            <w:tcW w:w="2405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 xml:space="preserve">4 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беспрерывно горят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</w:rPr>
            </w:pP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Около</w:t>
            </w: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 xml:space="preserve"> 100%</w:t>
            </w:r>
          </w:p>
        </w:tc>
      </w:tr>
      <w:tr>
        <w:trPr/>
        <w:tc>
          <w:tcPr>
            <w:tcW w:w="2405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3 беспрерывно горят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</w:rPr>
            </w:pP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Около</w:t>
            </w: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 xml:space="preserve"> 75%</w:t>
            </w:r>
          </w:p>
        </w:tc>
      </w:tr>
      <w:tr>
        <w:trPr/>
        <w:tc>
          <w:tcPr>
            <w:tcW w:w="2405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2 беспрерывно горят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</w:rPr>
            </w:pP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Около</w:t>
            </w: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 xml:space="preserve"> 50%</w:t>
            </w:r>
          </w:p>
        </w:tc>
      </w:tr>
      <w:tr>
        <w:trPr/>
        <w:tc>
          <w:tcPr>
            <w:tcW w:w="2405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</w:rPr>
            </w:pP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1 беспрерывно гор</w:t>
            </w: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и</w:t>
            </w:r>
            <w:r>
              <w:rPr>
                <w:rFonts w:eastAsia="DengXian" w:cs="Calibri" w:ascii="DengXian" w:hAnsi="DengXian"/>
                <w:szCs w:val="21"/>
                <w:lang w:val="en-US" w:eastAsia="zh-CN" w:bidi="ar-SA"/>
              </w:rPr>
              <w:t>т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DengXian" w:hAnsi="DengXian" w:eastAsia="DengXian" w:cs="Calibri"/>
                <w:szCs w:val="21"/>
                <w:lang w:val="ru-RU"/>
              </w:rPr>
            </w:pPr>
            <w:r>
              <w:rPr>
                <w:rFonts w:eastAsia="DengXian" w:cs="Calibri" w:ascii="DengXian" w:hAnsi="DengXian"/>
                <w:szCs w:val="21"/>
                <w:lang w:val="ru-RU" w:eastAsia="zh-CN" w:bidi="ar-SA"/>
              </w:rPr>
              <w:t>Около 25% (Пожалуйста, подключите устройство к источнику питания как можно скорее)</w:t>
            </w:r>
          </w:p>
        </w:tc>
      </w:tr>
    </w:tbl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szCs w:val="21"/>
          <w:lang w:val="ru-RU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szCs w:val="21"/>
          <w:lang w:val="ru-RU"/>
        </w:rPr>
      </w:pPr>
      <w:r>
        <w:rPr>
          <w:rFonts w:eastAsia="DengXian" w:cs="Calibri" w:ascii="DengXian" w:hAnsi="DengXian"/>
          <w:b/>
          <w:szCs w:val="21"/>
          <w:lang w:val="ru-RU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bCs/>
          <w:szCs w:val="21"/>
        </w:rPr>
      </w:pPr>
      <w:r>
        <w:rPr>
          <w:rFonts w:eastAsia="DengXian" w:cs="Calibri" w:ascii="DengXian" w:hAnsi="DengXian"/>
          <w:b/>
          <w:bCs/>
          <w:szCs w:val="21"/>
        </w:rPr>
        <w:t>Меры предосторожности</w:t>
      </w:r>
    </w:p>
    <w:p>
      <w:pPr>
        <w:pStyle w:val="ListParagraph"/>
        <w:numPr>
          <w:ilvl w:val="0"/>
          <w:numId w:val="1"/>
        </w:numPr>
        <w:spacing w:lineRule="atLeast" w:line="0"/>
        <w:jc w:val="left"/>
        <w:rPr>
          <w:rFonts w:ascii="DengXian" w:hAnsi="DengXian" w:eastAsia="DengXian" w:cs="Calibri"/>
          <w:szCs w:val="21"/>
        </w:rPr>
      </w:pPr>
      <w:r>
        <w:rPr>
          <w:rFonts w:eastAsia="DengXian" w:cs="Calibri" w:ascii="DengXian" w:hAnsi="DengXian"/>
          <w:szCs w:val="21"/>
          <w:lang w:val="ru-RU"/>
        </w:rPr>
        <w:t xml:space="preserve">ВНИМАНИЕ! Возможно опасное излучение! Не направляйте свет фонаря в глаза! </w:t>
      </w:r>
      <w:r>
        <w:rPr>
          <w:rFonts w:eastAsia="DengXian" w:cs="Calibri" w:ascii="DengXian" w:hAnsi="DengXian"/>
          <w:szCs w:val="21"/>
        </w:rPr>
        <w:t>Поскольку это может нанести им значительный вред.</w:t>
      </w:r>
    </w:p>
    <w:p>
      <w:pPr>
        <w:pStyle w:val="ListParagraph"/>
        <w:numPr>
          <w:ilvl w:val="0"/>
          <w:numId w:val="1"/>
        </w:numPr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  <w:t>Пожалуйста, не забывайте заряжать устройство каждые 6 месяцев, если не используете его в течение длительного времени.</w:t>
      </w:r>
    </w:p>
    <w:p>
      <w:pPr>
        <w:pStyle w:val="ListParagraph"/>
        <w:numPr>
          <w:ilvl w:val="0"/>
          <w:numId w:val="1"/>
        </w:numPr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  <w:t>Если вы планируете переносить или хранить устройство в рюкзаке, не забудьте перевести фонарь в режим блокировки, чтобы предотвратить его непреднамеренную активацию.</w:t>
      </w:r>
    </w:p>
    <w:p>
      <w:pPr>
        <w:pStyle w:val="ListParagraph"/>
        <w:numPr>
          <w:ilvl w:val="0"/>
          <w:numId w:val="1"/>
        </w:numPr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  <w:t xml:space="preserve">НЕ разбирайте устройство и не вносите в его конструкцию какие-либо изменения, поскольку это может навредить его функционалу, а также приведет к аннулированию гарантии на продукт. </w:t>
      </w:r>
    </w:p>
    <w:p>
      <w:pPr>
        <w:pStyle w:val="ListParagraph"/>
        <w:numPr>
          <w:ilvl w:val="0"/>
          <w:numId w:val="1"/>
        </w:numPr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  <w:t>Утилизируйте устройство / аккумуляторы в соответствии с действующим местным законодательством, а также принятыми в вашем регионе правилами.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</w:rPr>
      </w:pPr>
      <w:r>
        <w:rPr>
          <w:rFonts w:eastAsia="DengXian" w:cs="Calibri" w:ascii="DengXian" w:hAnsi="DengXian"/>
          <w:szCs w:val="21"/>
        </w:rPr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b/>
          <w:bCs/>
          <w:szCs w:val="21"/>
          <w:lang w:val="ru-RU"/>
        </w:rPr>
      </w:pPr>
      <w:r>
        <w:rPr>
          <w:rFonts w:eastAsia="DengXian" w:cs="Calibri" w:ascii="DengXian" w:hAnsi="DengXian"/>
          <w:b/>
          <w:bCs/>
          <w:szCs w:val="21"/>
          <w:lang w:val="ru-RU"/>
        </w:rPr>
        <w:t>Гарантийное обслуживание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  <w:t xml:space="preserve">Вся продукция </w:t>
      </w:r>
      <w:r>
        <w:rPr>
          <w:rFonts w:eastAsia="DengXian" w:cs="Calibri" w:ascii="DengXian" w:hAnsi="DengXian"/>
          <w:szCs w:val="21"/>
        </w:rPr>
        <w:t>NITECORE</w:t>
      </w:r>
      <w:r>
        <w:rPr>
          <w:rFonts w:eastAsia="DengXian" w:cs="Calibri" w:ascii="DengXian" w:hAnsi="DengXian"/>
          <w:szCs w:val="21"/>
          <w:lang w:val="ru-RU"/>
        </w:rPr>
        <w:t xml:space="preserve">® обладает гарантией. При наличии у продукта каких-либо дефектов или брака его можно обменять у местного дистрибьютора в течение 15 дней со дня покупки. После этого неисправную продукцию </w:t>
      </w:r>
      <w:r>
        <w:rPr>
          <w:rFonts w:eastAsia="DengXian" w:cs="Calibri" w:ascii="DengXian" w:hAnsi="DengXian"/>
          <w:szCs w:val="21"/>
        </w:rPr>
        <w:t>NITECORE</w:t>
      </w:r>
      <w:r>
        <w:rPr>
          <w:rFonts w:eastAsia="DengXian" w:cs="Calibri" w:ascii="DengXian" w:hAnsi="DengXian"/>
          <w:szCs w:val="21"/>
          <w:lang w:val="ru-RU"/>
        </w:rPr>
        <w:t>® можно бесплатно починить в течение 24 месяцев со дня покупки. По прошествии 24 месяцев вступает в силу ограниченная гарантия, покрывающая стоимость работы и обслуживания, но не плату за комплектующие и запасные части.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  <w:t>Гарантия аннулируется, в случае если: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  <w:t>1. устройство было сломано или в его конструкцию были внесены изменения неофициальной стороной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  <w:t>2. продукция была повреждена вследствие неправильного пользования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  <w:t xml:space="preserve">За последней информацией о продукции и услугах </w:t>
      </w:r>
      <w:r>
        <w:rPr>
          <w:rFonts w:eastAsia="DengXian" w:cs="Calibri" w:ascii="DengXian" w:hAnsi="DengXian"/>
          <w:szCs w:val="21"/>
        </w:rPr>
        <w:t>NITECORE</w:t>
      </w:r>
      <w:r>
        <w:rPr>
          <w:rFonts w:eastAsia="DengXian" w:cs="Calibri" w:ascii="DengXian" w:hAnsi="DengXian"/>
          <w:szCs w:val="21"/>
          <w:lang w:val="ru-RU"/>
        </w:rPr>
        <w:t xml:space="preserve">®, пожалуйста, обращайтесь к местному дистрибьютору </w:t>
      </w:r>
      <w:r>
        <w:rPr>
          <w:rFonts w:eastAsia="DengXian" w:cs="Calibri" w:ascii="DengXian" w:hAnsi="DengXian"/>
          <w:szCs w:val="21"/>
        </w:rPr>
        <w:t>NITECORE</w:t>
      </w:r>
      <w:r>
        <w:rPr>
          <w:rFonts w:eastAsia="DengXian" w:cs="Calibri" w:ascii="DengXian" w:hAnsi="DengXian"/>
          <w:szCs w:val="21"/>
          <w:lang w:val="ru-RU"/>
        </w:rPr>
        <w:t xml:space="preserve">® или пишите на почту </w:t>
      </w:r>
      <w:r>
        <w:rPr>
          <w:rFonts w:eastAsia="DengXian" w:cs="Calibri" w:ascii="DengXian" w:hAnsi="DengXian"/>
          <w:szCs w:val="21"/>
        </w:rPr>
        <w:t>service</w:t>
      </w:r>
      <w:r>
        <w:rPr>
          <w:rFonts w:eastAsia="DengXian" w:cs="Calibri" w:ascii="DengXian" w:hAnsi="DengXian"/>
          <w:szCs w:val="21"/>
          <w:lang w:val="ru-RU"/>
        </w:rPr>
        <w:t>@</w:t>
      </w:r>
      <w:r>
        <w:rPr>
          <w:rFonts w:eastAsia="DengXian" w:cs="Calibri" w:ascii="DengXian" w:hAnsi="DengXian"/>
          <w:szCs w:val="21"/>
        </w:rPr>
        <w:t>nitecore</w:t>
      </w:r>
      <w:r>
        <w:rPr>
          <w:rFonts w:eastAsia="DengXian" w:cs="Calibri" w:ascii="DengXian" w:hAnsi="DengXian"/>
          <w:szCs w:val="21"/>
          <w:lang w:val="ru-RU"/>
        </w:rPr>
        <w:t>.</w:t>
      </w:r>
      <w:r>
        <w:rPr>
          <w:rFonts w:eastAsia="DengXian" w:cs="Calibri" w:ascii="DengXian" w:hAnsi="DengXian"/>
          <w:szCs w:val="21"/>
        </w:rPr>
        <w:t>com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  <w:t xml:space="preserve">※ </w:t>
      </w:r>
      <w:r>
        <w:rPr>
          <w:rFonts w:eastAsia="DengXian" w:cs="Calibri" w:ascii="DengXian" w:hAnsi="DengXian"/>
          <w:szCs w:val="21"/>
          <w:lang w:val="ru-RU"/>
        </w:rPr>
        <w:t xml:space="preserve">Все изображения, тексты и утверждения, приведенные в данном руководстве пользователя, предназначены только для справочных целей. В случае возникновения каких-либо расхождений между данным руководством и информацией, указанной на сайте </w:t>
      </w:r>
      <w:r>
        <w:rPr>
          <w:rFonts w:eastAsia="DengXian" w:cs="Calibri" w:ascii="DengXian" w:hAnsi="DengXian"/>
          <w:szCs w:val="21"/>
        </w:rPr>
        <w:t>www</w:t>
      </w:r>
      <w:r>
        <w:rPr>
          <w:rFonts w:eastAsia="DengXian" w:cs="Calibri" w:ascii="DengXian" w:hAnsi="DengXian"/>
          <w:szCs w:val="21"/>
          <w:lang w:val="ru-RU"/>
        </w:rPr>
        <w:t>.</w:t>
      </w:r>
      <w:r>
        <w:rPr>
          <w:rFonts w:eastAsia="DengXian" w:cs="Calibri" w:ascii="DengXian" w:hAnsi="DengXian"/>
          <w:szCs w:val="21"/>
        </w:rPr>
        <w:t>nitecore</w:t>
      </w:r>
      <w:r>
        <w:rPr>
          <w:rFonts w:eastAsia="DengXian" w:cs="Calibri" w:ascii="DengXian" w:hAnsi="DengXian"/>
          <w:szCs w:val="21"/>
          <w:lang w:val="ru-RU"/>
        </w:rPr>
        <w:t>.</w:t>
      </w:r>
      <w:r>
        <w:rPr>
          <w:rFonts w:eastAsia="DengXian" w:cs="Calibri" w:ascii="DengXian" w:hAnsi="DengXian"/>
          <w:szCs w:val="21"/>
        </w:rPr>
        <w:t>com</w:t>
      </w:r>
      <w:r>
        <w:rPr>
          <w:rFonts w:eastAsia="DengXian" w:cs="Calibri" w:ascii="DengXian" w:hAnsi="DengXian"/>
          <w:szCs w:val="21"/>
          <w:lang w:val="ru-RU"/>
        </w:rPr>
        <w:t xml:space="preserve">, </w:t>
      </w:r>
      <w:r>
        <w:rPr>
          <w:rFonts w:eastAsia="DengXian" w:cs="Calibri" w:ascii="DengXian" w:hAnsi="DengXian"/>
          <w:szCs w:val="21"/>
        </w:rPr>
        <w:t>Sysmax</w:t>
      </w:r>
      <w:r>
        <w:rPr>
          <w:rFonts w:eastAsia="DengXian" w:cs="Calibri" w:ascii="DengXian" w:hAnsi="DengXian"/>
          <w:szCs w:val="21"/>
          <w:lang w:val="ru-RU"/>
        </w:rPr>
        <w:t xml:space="preserve"> </w:t>
      </w:r>
      <w:r>
        <w:rPr>
          <w:rFonts w:eastAsia="DengXian" w:cs="Calibri" w:ascii="DengXian" w:hAnsi="DengXian"/>
          <w:szCs w:val="21"/>
        </w:rPr>
        <w:t>Innovations</w:t>
      </w:r>
      <w:r>
        <w:rPr>
          <w:rFonts w:eastAsia="DengXian" w:cs="Calibri" w:ascii="DengXian" w:hAnsi="DengXian"/>
          <w:szCs w:val="21"/>
          <w:lang w:val="ru-RU"/>
        </w:rPr>
        <w:t xml:space="preserve"> </w:t>
      </w:r>
      <w:r>
        <w:rPr>
          <w:rFonts w:eastAsia="DengXian" w:cs="Calibri" w:ascii="DengXian" w:hAnsi="DengXian"/>
          <w:szCs w:val="21"/>
        </w:rPr>
        <w:t>Co</w:t>
      </w:r>
      <w:r>
        <w:rPr>
          <w:rFonts w:eastAsia="DengXian" w:cs="Calibri" w:ascii="DengXian" w:hAnsi="DengXian"/>
          <w:szCs w:val="21"/>
          <w:lang w:val="ru-RU"/>
        </w:rPr>
        <w:t xml:space="preserve">., </w:t>
      </w:r>
      <w:r>
        <w:rPr>
          <w:rFonts w:eastAsia="DengXian" w:cs="Calibri" w:ascii="DengXian" w:hAnsi="DengXian"/>
          <w:szCs w:val="21"/>
        </w:rPr>
        <w:t>Ltd</w:t>
      </w:r>
      <w:r>
        <w:rPr>
          <w:rFonts w:eastAsia="DengXian" w:cs="Calibri" w:ascii="DengXian" w:hAnsi="DengXian"/>
          <w:szCs w:val="21"/>
          <w:lang w:val="ru-RU"/>
        </w:rPr>
        <w:t>. оставляет за собой право интерпретировать и изменять содержание данного документа в любое время без предварительного уведомления.</w:t>
      </w:r>
    </w:p>
    <w:p>
      <w:pPr>
        <w:pStyle w:val="Normal"/>
        <w:spacing w:lineRule="atLeast" w:line="0"/>
        <w:jc w:val="left"/>
        <w:rPr>
          <w:rFonts w:ascii="DengXian" w:hAnsi="DengXian" w:eastAsia="DengXian" w:cs="Calibri"/>
          <w:szCs w:val="21"/>
        </w:rPr>
      </w:pPr>
      <w:r>
        <w:rPr/>
      </w:r>
    </w:p>
    <w:sectPr>
      <w:type w:val="nextPage"/>
      <w:pgSz w:w="16838" w:h="23811"/>
      <w:pgMar w:left="720" w:right="720" w:gutter="0" w:header="0" w:top="720" w:footer="0" w:bottom="72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DengXian">
    <w:charset w:val="cc"/>
    <w:family w:val="roman"/>
    <w:pitch w:val="variable"/>
  </w:font>
  <w:font w:name="Cambria Math">
    <w:charset w:val="cc"/>
    <w:family w:val="roman"/>
    <w:pitch w:val="variable"/>
  </w:font>
  <w:font w:name="SimSun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/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/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/>
    </w:lvl>
  </w:abstractNum>
  <w:abstractNum w:abstractNumId="2">
    <w:lvl w:ilvl="0">
      <w:numFmt w:val="bullet"/>
      <w:lvlText w:val="·"/>
      <w:lvlJc w:val="left"/>
      <w:pPr>
        <w:tabs>
          <w:tab w:val="num" w:pos="0"/>
        </w:tabs>
        <w:ind w:left="420" w:hanging="420"/>
      </w:pPr>
      <w:rPr>
        <w:rFonts w:ascii="SimSun" w:hAnsi="SimSun" w:cs="SimSun" w:hint="default"/>
        <w:rFonts w:cstheme="minorBid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·"/>
      <w:lvlJc w:val="left"/>
      <w:pPr>
        <w:tabs>
          <w:tab w:val="num" w:pos="0"/>
        </w:tabs>
        <w:ind w:left="420" w:hanging="420"/>
      </w:pPr>
      <w:rPr>
        <w:rFonts w:ascii="SimSun" w:hAnsi="SimSun" w:cs="SimSun" w:hint="default"/>
        <w:rFonts w:cstheme="minorBid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·"/>
      <w:lvlJc w:val="left"/>
      <w:pPr>
        <w:tabs>
          <w:tab w:val="num" w:pos="0"/>
        </w:tabs>
        <w:ind w:left="420" w:hanging="420"/>
      </w:pPr>
      <w:rPr>
        <w:rFonts w:ascii="SimSun" w:hAnsi="SimSun" w:cs="SimSun" w:hint="default"/>
        <w:rFonts w:cstheme="minorBid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·"/>
      <w:lvlJc w:val="left"/>
      <w:pPr>
        <w:tabs>
          <w:tab w:val="num" w:pos="0"/>
        </w:tabs>
        <w:ind w:left="420" w:hanging="420"/>
      </w:pPr>
      <w:rPr>
        <w:rFonts w:ascii="SimSun" w:hAnsi="SimSun" w:cs="SimSun" w:hint="default"/>
        <w:rFonts w:cstheme="minorBid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·"/>
      <w:lvlJc w:val="left"/>
      <w:pPr>
        <w:tabs>
          <w:tab w:val="num" w:pos="0"/>
        </w:tabs>
        <w:ind w:left="420" w:hanging="420"/>
      </w:pPr>
      <w:rPr>
        <w:rFonts w:ascii="SimSun" w:hAnsi="SimSun" w:cs="SimSun" w:hint="default"/>
        <w:rFonts w:cstheme="minorBid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numFmt w:val="bullet"/>
      <w:lvlText w:val="·"/>
      <w:lvlJc w:val="left"/>
      <w:pPr>
        <w:tabs>
          <w:tab w:val="num" w:pos="0"/>
        </w:tabs>
        <w:ind w:left="420" w:hanging="420"/>
      </w:pPr>
      <w:rPr>
        <w:rFonts w:ascii="SimSun" w:hAnsi="SimSun" w:cs="SimSun" w:hint="default"/>
        <w:rFonts w:cstheme="minorBid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numFmt w:val="bullet"/>
      <w:lvlText w:val="·"/>
      <w:lvlJc w:val="left"/>
      <w:pPr>
        <w:tabs>
          <w:tab w:val="num" w:pos="0"/>
        </w:tabs>
        <w:ind w:left="420" w:hanging="420"/>
      </w:pPr>
      <w:rPr>
        <w:rFonts w:ascii="SimSun" w:hAnsi="SimSun" w:cs="SimSun" w:hint="default"/>
        <w:rFonts w:cstheme="minorBid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Pr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Pr>
      <w:kern w:val="2"/>
      <w:sz w:val="18"/>
      <w:szCs w:val="18"/>
    </w:rPr>
  </w:style>
  <w:style w:type="character" w:styleId="Style16" w:customStyle="1">
    <w:name w:val="Нижний колонтитул Знак"/>
    <w:basedOn w:val="DefaultParagraphFont"/>
    <w:uiPriority w:val="99"/>
    <w:qFormat/>
    <w:rPr>
      <w:kern w:val="2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54788"/>
    <w:rPr>
      <w:sz w:val="21"/>
      <w:szCs w:val="21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qFormat/>
    <w:rsid w:val="00b54788"/>
    <w:rPr>
      <w:kern w:val="2"/>
      <w:sz w:val="21"/>
      <w:szCs w:val="22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b54788"/>
    <w:rPr>
      <w:b/>
      <w:bCs/>
      <w:kern w:val="2"/>
      <w:sz w:val="21"/>
      <w:szCs w:val="22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pPr/>
    <w:rPr>
      <w:sz w:val="18"/>
      <w:szCs w:val="18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Normal"/>
    <w:link w:val="Style16"/>
    <w:uiPriority w:val="99"/>
    <w:unhideWhenUsed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tyle26">
    <w:name w:val="Header"/>
    <w:basedOn w:val="Normal"/>
    <w:link w:val="Style15"/>
    <w:uiPriority w:val="99"/>
    <w:unhideWhenUsed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/>
    </w:pPr>
    <w:rPr/>
  </w:style>
  <w:style w:type="paragraph" w:styleId="Annotationtext">
    <w:name w:val="annotation text"/>
    <w:basedOn w:val="Normal"/>
    <w:link w:val="Style17"/>
    <w:uiPriority w:val="99"/>
    <w:unhideWhenUsed/>
    <w:qFormat/>
    <w:rsid w:val="00b54788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b54788"/>
    <w:pPr/>
    <w:rPr>
      <w:b/>
      <w:bCs/>
    </w:rPr>
  </w:style>
  <w:style w:type="paragraph" w:styleId="Revision">
    <w:name w:val="Revision"/>
    <w:uiPriority w:val="99"/>
    <w:semiHidden/>
    <w:qFormat/>
    <w:rsid w:val="003e62cb"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网格型1"/>
    <w:basedOn w:val="a1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1C531-7271-4355-9F2A-26FBFA87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LibreOffice/7.5.1.2$Windows_X86_64 LibreOffice_project/fcbaee479e84c6cd81291587d2ee68cba099e129</Application>
  <AppVersion>15.0000</AppVersion>
  <Pages>6</Pages>
  <Words>1189</Words>
  <Characters>7579</Characters>
  <CharactersWithSpaces>8615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2023-02-20T08:30:00Z</dcterms:created>
  <dc:creator>Lenovo</dc:creator>
  <dc:description/>
  <dc:language>ru-RU</dc:language>
  <cp:lastModifiedBy>Эрнест Гейвандов</cp:lastModifiedBy>
  <cp:lastPrinted>2022-07-22T01:57:00Z</cp:lastPrinted>
  <dcterms:modified xsi:type="dcterms:W3CDTF">2023-02-28T11:19:00Z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84DBCA79B76C42969385C96B165A909B</vt:lpwstr>
  </property>
  <property fmtid="{D5CDD505-2E9C-101B-9397-08002B2CF9AE}" pid="3" name="KSOProductBuildVer">
    <vt:lpwstr>2052-11.1.0.13703</vt:lpwstr>
  </property>
</Properties>
</file>