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AB1E" w14:textId="77777777" w:rsidR="002D1D42" w:rsidRDefault="002D0ECD">
      <w:pPr>
        <w:jc w:val="both"/>
      </w:pPr>
      <w:r>
        <w:rPr>
          <w:b/>
          <w:sz w:val="22"/>
          <w:szCs w:val="22"/>
        </w:rPr>
        <w:t>5.  ГАРАНТИИ ИЗГОТОВИТЕЛЯ</w:t>
      </w:r>
    </w:p>
    <w:p w14:paraId="50B57650" w14:textId="77777777" w:rsidR="002D1D42" w:rsidRDefault="002D1D42">
      <w:pPr>
        <w:jc w:val="both"/>
        <w:rPr>
          <w:b/>
          <w:sz w:val="22"/>
          <w:szCs w:val="22"/>
        </w:rPr>
      </w:pPr>
    </w:p>
    <w:p w14:paraId="5C88C1CA" w14:textId="77777777" w:rsidR="002D1D42" w:rsidRDefault="002D0ECD">
      <w:pPr>
        <w:pStyle w:val="a8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Ручная гидравлическая тележка серии </w:t>
      </w:r>
      <w:r>
        <w:rPr>
          <w:sz w:val="22"/>
          <w:szCs w:val="22"/>
          <w:lang w:val="en-US"/>
        </w:rPr>
        <w:t>JC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DF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DFL</w:t>
      </w:r>
      <w:r>
        <w:rPr>
          <w:sz w:val="22"/>
          <w:szCs w:val="22"/>
        </w:rPr>
        <w:t xml:space="preserve"> полностью соответствует требованиям нормативных документов ГОСТ 12847-67 Тележки грузовые с подъёмными устройствами, что подтверждается Сертификатом Соответствия № РОСС </w:t>
      </w:r>
      <w:r>
        <w:rPr>
          <w:sz w:val="22"/>
          <w:szCs w:val="22"/>
          <w:lang w:val="en-US"/>
        </w:rPr>
        <w:t>CN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HE</w:t>
      </w:r>
      <w:r>
        <w:rPr>
          <w:sz w:val="22"/>
          <w:szCs w:val="22"/>
        </w:rPr>
        <w:t>06.</w:t>
      </w:r>
      <w:r>
        <w:rPr>
          <w:sz w:val="22"/>
          <w:szCs w:val="22"/>
          <w:lang w:val="en-US"/>
        </w:rPr>
        <w:t>H</w:t>
      </w:r>
      <w:r>
        <w:rPr>
          <w:sz w:val="22"/>
          <w:szCs w:val="22"/>
        </w:rPr>
        <w:t xml:space="preserve">00807 </w:t>
      </w:r>
    </w:p>
    <w:p w14:paraId="057F3D5A" w14:textId="77777777" w:rsidR="002D1D42" w:rsidRDefault="002D0ECD">
      <w:pPr>
        <w:pStyle w:val="a8"/>
        <w:spacing w:line="276" w:lineRule="auto"/>
        <w:jc w:val="both"/>
      </w:pPr>
      <w:r>
        <w:rPr>
          <w:sz w:val="22"/>
          <w:szCs w:val="22"/>
        </w:rPr>
        <w:t xml:space="preserve">5.2. Гарантия распространяется только на металлоконструкцию тележки.  </w:t>
      </w:r>
    </w:p>
    <w:p w14:paraId="7D614670" w14:textId="77777777" w:rsidR="002D1D42" w:rsidRDefault="002D0ECD">
      <w:pPr>
        <w:pStyle w:val="a8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5.3. Гарантийный срок устанавливается на 12 месяцев со дня продажи конечному потребителю, при условии соблюдения покупателем правил по условиям эксплуатации, обслуживанию и транспортировке.</w:t>
      </w:r>
    </w:p>
    <w:p w14:paraId="17D81EFE" w14:textId="77777777" w:rsidR="002D1D42" w:rsidRDefault="002D0ECD">
      <w:pPr>
        <w:pStyle w:val="a8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929A3C1" w14:textId="77777777" w:rsidR="002D1D42" w:rsidRDefault="002D0ECD">
      <w:pPr>
        <w:pStyle w:val="a8"/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Гарантии не распространяются на:</w:t>
      </w:r>
    </w:p>
    <w:p w14:paraId="2D7C06C5" w14:textId="77777777" w:rsidR="002D1D42" w:rsidRDefault="002D0ECD">
      <w:pPr>
        <w:pStyle w:val="a8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5.4. Неисправности оборудования, вызванные несоблюдением настоящей инструкции по эксплуатации или произошедшие вследствие использования оборудования не по назначению, в агрессивных условиях окружающей среды, в следствии перегрузки тележек, ненадлежащего технического обслуживания.</w:t>
      </w:r>
    </w:p>
    <w:p w14:paraId="0A1C7D60" w14:textId="77777777" w:rsidR="002D1D42" w:rsidRDefault="002D0ECD">
      <w:pPr>
        <w:pStyle w:val="a8"/>
        <w:spacing w:line="276" w:lineRule="auto"/>
        <w:jc w:val="both"/>
      </w:pPr>
      <w:r>
        <w:rPr>
          <w:sz w:val="22"/>
          <w:szCs w:val="22"/>
        </w:rPr>
        <w:t>5.5. На механические повреждения (трещины, сколы и т.п.) и повреждения, вызванные воздействием неблагоприятной среды (высокой влажности, высоких/низких температур), попадания инородных предметов в вентиляционные отверстия электрооборудования, а также повреждения, наступившие в следствие неправильного хранения и коррозии металлических частей.</w:t>
      </w:r>
    </w:p>
    <w:p w14:paraId="02027C22" w14:textId="77777777" w:rsidR="002D1D42" w:rsidRDefault="002D0ECD">
      <w:pPr>
        <w:pStyle w:val="a8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5.6. Оборудование, в конструкцию которого были внесены изменения или дополнения.</w:t>
      </w:r>
    </w:p>
    <w:p w14:paraId="3460D6EE" w14:textId="77777777" w:rsidR="002D1D42" w:rsidRDefault="002D1D42">
      <w:pPr>
        <w:pStyle w:val="a8"/>
        <w:spacing w:line="276" w:lineRule="auto"/>
        <w:jc w:val="both"/>
        <w:rPr>
          <w:sz w:val="22"/>
          <w:szCs w:val="22"/>
        </w:rPr>
      </w:pPr>
    </w:p>
    <w:p w14:paraId="0222333F" w14:textId="77777777" w:rsidR="002D1D42" w:rsidRDefault="002D1D42">
      <w:pPr>
        <w:jc w:val="both"/>
        <w:rPr>
          <w:sz w:val="22"/>
          <w:szCs w:val="22"/>
        </w:rPr>
      </w:pPr>
    </w:p>
    <w:p w14:paraId="7514A6A4" w14:textId="77777777" w:rsidR="002D1D42" w:rsidRDefault="002D1D42">
      <w:pPr>
        <w:rPr>
          <w:sz w:val="22"/>
          <w:szCs w:val="22"/>
        </w:rPr>
      </w:pPr>
    </w:p>
    <w:p w14:paraId="3449C89C" w14:textId="77777777" w:rsidR="002D1D42" w:rsidRDefault="002D0ECD">
      <w:pPr>
        <w:rPr>
          <w:sz w:val="22"/>
          <w:szCs w:val="22"/>
        </w:rPr>
      </w:pPr>
      <w:r>
        <w:rPr>
          <w:sz w:val="22"/>
          <w:szCs w:val="22"/>
        </w:rPr>
        <w:t>Модель /грузоподъемность       ___________</w:t>
      </w:r>
    </w:p>
    <w:p w14:paraId="0DA1C9CA" w14:textId="77777777" w:rsidR="002D1D42" w:rsidRDefault="002D1D42">
      <w:pPr>
        <w:rPr>
          <w:sz w:val="22"/>
          <w:szCs w:val="22"/>
        </w:rPr>
      </w:pPr>
    </w:p>
    <w:p w14:paraId="12C6F7F1" w14:textId="77777777" w:rsidR="002D1D42" w:rsidRDefault="002D0ECD">
      <w:pPr>
        <w:rPr>
          <w:sz w:val="22"/>
          <w:szCs w:val="22"/>
        </w:rPr>
      </w:pPr>
      <w:r>
        <w:rPr>
          <w:sz w:val="22"/>
          <w:szCs w:val="22"/>
        </w:rPr>
        <w:t>Количество                                  _____   шт</w:t>
      </w:r>
    </w:p>
    <w:p w14:paraId="76229CCF" w14:textId="77777777" w:rsidR="002D1D42" w:rsidRDefault="002D1D42">
      <w:pPr>
        <w:rPr>
          <w:sz w:val="22"/>
          <w:szCs w:val="22"/>
        </w:rPr>
      </w:pPr>
    </w:p>
    <w:p w14:paraId="28E69D3F" w14:textId="77777777" w:rsidR="002D1D42" w:rsidRDefault="002D0ECD">
      <w:pPr>
        <w:rPr>
          <w:sz w:val="22"/>
          <w:szCs w:val="22"/>
        </w:rPr>
      </w:pPr>
      <w:r>
        <w:rPr>
          <w:sz w:val="22"/>
          <w:szCs w:val="22"/>
        </w:rPr>
        <w:t>Дата продажи                              «__» ____ ____г.</w:t>
      </w:r>
    </w:p>
    <w:p w14:paraId="322B5108" w14:textId="77777777" w:rsidR="002D1D42" w:rsidRDefault="002D0EC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14:paraId="42D05CE6" w14:textId="77777777" w:rsidR="002D1D42" w:rsidRDefault="002D0EC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</w:p>
    <w:p w14:paraId="4E88B7D9" w14:textId="77777777" w:rsidR="002D1D42" w:rsidRDefault="002D1D42">
      <w:pPr>
        <w:tabs>
          <w:tab w:val="center" w:pos="4677"/>
          <w:tab w:val="right" w:pos="9355"/>
        </w:tabs>
        <w:rPr>
          <w:b/>
          <w:i/>
          <w:sz w:val="40"/>
          <w:szCs w:val="40"/>
        </w:rPr>
      </w:pPr>
    </w:p>
    <w:p w14:paraId="6E01E6EE" w14:textId="77777777" w:rsidR="002D1D42" w:rsidRDefault="002D1D42">
      <w:pPr>
        <w:tabs>
          <w:tab w:val="center" w:pos="4677"/>
          <w:tab w:val="right" w:pos="9355"/>
        </w:tabs>
        <w:rPr>
          <w:rFonts w:ascii="Calibri" w:hAnsi="Calibri" w:cs="Calibri"/>
          <w:b/>
          <w:i/>
          <w:sz w:val="40"/>
          <w:szCs w:val="40"/>
        </w:rPr>
      </w:pPr>
    </w:p>
    <w:p w14:paraId="5A053644" w14:textId="77777777" w:rsidR="002D1D42" w:rsidRDefault="002D1D42">
      <w:pPr>
        <w:tabs>
          <w:tab w:val="center" w:pos="4677"/>
          <w:tab w:val="right" w:pos="9355"/>
        </w:tabs>
        <w:rPr>
          <w:rFonts w:ascii="Calibri" w:hAnsi="Calibri" w:cs="Calibri"/>
          <w:b/>
          <w:i/>
          <w:sz w:val="40"/>
          <w:szCs w:val="40"/>
        </w:rPr>
      </w:pPr>
    </w:p>
    <w:p w14:paraId="14FFA7A5" w14:textId="77777777" w:rsidR="002D1D42" w:rsidRDefault="002D1D42">
      <w:pPr>
        <w:rPr>
          <w:rFonts w:ascii="Calibri" w:hAnsi="Calibri" w:cs="Calibri"/>
          <w:b/>
          <w:i/>
          <w:sz w:val="40"/>
          <w:szCs w:val="40"/>
        </w:rPr>
      </w:pPr>
      <w:bookmarkStart w:id="0" w:name="_Hlk51782033"/>
      <w:bookmarkStart w:id="1" w:name="_Hlk51782032"/>
    </w:p>
    <w:bookmarkEnd w:id="0"/>
    <w:bookmarkEnd w:id="1"/>
    <w:p w14:paraId="67EA704B" w14:textId="1FF7C4CC" w:rsidR="00697FBC" w:rsidRPr="005A4D1D" w:rsidRDefault="00697FBC" w:rsidP="00697FBC">
      <w:pPr>
        <w:ind w:left="2112" w:firstLine="696"/>
        <w:rPr>
          <w:rFonts w:ascii="Arial Narrow" w:hAnsi="Arial Narrow"/>
          <w:color w:val="80808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1496D0" wp14:editId="27AFD7D5">
            <wp:simplePos x="0" y="0"/>
            <wp:positionH relativeFrom="column">
              <wp:posOffset>188595</wp:posOffset>
            </wp:positionH>
            <wp:positionV relativeFrom="paragraph">
              <wp:posOffset>-50165</wp:posOffset>
            </wp:positionV>
            <wp:extent cx="1169035" cy="1081405"/>
            <wp:effectExtent l="0" t="0" r="0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4D1D">
        <w:rPr>
          <w:rFonts w:ascii="Arial Narrow" w:hAnsi="Arial Narrow"/>
          <w:color w:val="808080"/>
          <w:sz w:val="16"/>
          <w:szCs w:val="16"/>
        </w:rPr>
        <w:t>ООО "А5"</w:t>
      </w:r>
    </w:p>
    <w:p w14:paraId="27E2D912" w14:textId="77777777" w:rsidR="00697FBC" w:rsidRPr="005A4D1D" w:rsidRDefault="00697FBC" w:rsidP="00697FBC">
      <w:pPr>
        <w:ind w:left="2112" w:firstLine="696"/>
        <w:rPr>
          <w:rFonts w:ascii="Arial Narrow" w:hAnsi="Arial Narrow"/>
          <w:color w:val="808080"/>
          <w:sz w:val="16"/>
          <w:szCs w:val="16"/>
        </w:rPr>
      </w:pPr>
      <w:r w:rsidRPr="005A4D1D">
        <w:rPr>
          <w:rFonts w:ascii="Arial Narrow" w:hAnsi="Arial Narrow"/>
          <w:color w:val="808080"/>
          <w:sz w:val="16"/>
          <w:szCs w:val="16"/>
        </w:rPr>
        <w:t>ИНН / КПП: 5405503636 / 540401001</w:t>
      </w:r>
    </w:p>
    <w:p w14:paraId="44AE49A0" w14:textId="77777777" w:rsidR="00697FBC" w:rsidRPr="005A4D1D" w:rsidRDefault="00697FBC" w:rsidP="00697FBC">
      <w:pPr>
        <w:ind w:left="2112" w:firstLine="696"/>
        <w:rPr>
          <w:rFonts w:ascii="Arial Narrow" w:hAnsi="Arial Narrow"/>
          <w:color w:val="808080"/>
          <w:sz w:val="16"/>
          <w:szCs w:val="16"/>
        </w:rPr>
      </w:pPr>
      <w:r w:rsidRPr="005A4D1D">
        <w:rPr>
          <w:rFonts w:ascii="Arial Narrow" w:hAnsi="Arial Narrow"/>
          <w:color w:val="808080"/>
          <w:sz w:val="16"/>
          <w:szCs w:val="16"/>
        </w:rPr>
        <w:t>ОГРН: 1145476129700</w:t>
      </w:r>
    </w:p>
    <w:p w14:paraId="6D4B60E7" w14:textId="77777777" w:rsidR="00697FBC" w:rsidRPr="005A4D1D" w:rsidRDefault="00697FBC" w:rsidP="00697FBC">
      <w:pPr>
        <w:ind w:left="2112" w:firstLine="696"/>
        <w:rPr>
          <w:rFonts w:ascii="Arial Narrow" w:hAnsi="Arial Narrow"/>
          <w:color w:val="808080"/>
          <w:sz w:val="16"/>
          <w:szCs w:val="16"/>
        </w:rPr>
      </w:pPr>
      <w:r w:rsidRPr="005A4D1D">
        <w:rPr>
          <w:rFonts w:ascii="Arial Narrow" w:hAnsi="Arial Narrow"/>
          <w:color w:val="808080"/>
          <w:sz w:val="16"/>
          <w:szCs w:val="16"/>
        </w:rPr>
        <w:t>630073, г. Новосибирск, проспект Карла Маркса, д. 57, офис 514</w:t>
      </w:r>
    </w:p>
    <w:p w14:paraId="7FD17FB1" w14:textId="77777777" w:rsidR="00697FBC" w:rsidRPr="005A4D1D" w:rsidRDefault="00697FBC" w:rsidP="00697FBC">
      <w:pPr>
        <w:ind w:left="2112" w:firstLine="696"/>
        <w:rPr>
          <w:rFonts w:ascii="Arial Narrow" w:hAnsi="Arial Narrow"/>
          <w:color w:val="808080"/>
          <w:sz w:val="16"/>
          <w:szCs w:val="16"/>
        </w:rPr>
      </w:pPr>
      <w:r w:rsidRPr="005A4D1D">
        <w:rPr>
          <w:rFonts w:ascii="Arial Narrow" w:hAnsi="Arial Narrow"/>
          <w:color w:val="808080"/>
          <w:sz w:val="16"/>
          <w:szCs w:val="16"/>
        </w:rPr>
        <w:t>тел.:  +7 (383) 383-21-40</w:t>
      </w:r>
    </w:p>
    <w:p w14:paraId="231C9A38" w14:textId="77777777" w:rsidR="00697FBC" w:rsidRPr="005A4D1D" w:rsidRDefault="00697FBC" w:rsidP="00697FBC">
      <w:pPr>
        <w:ind w:left="2112" w:firstLine="696"/>
        <w:rPr>
          <w:rFonts w:ascii="Arial Narrow" w:hAnsi="Arial Narrow"/>
          <w:color w:val="808080"/>
          <w:sz w:val="16"/>
          <w:szCs w:val="16"/>
        </w:rPr>
      </w:pPr>
      <w:r w:rsidRPr="00847138">
        <w:rPr>
          <w:rFonts w:ascii="Arial Narrow" w:hAnsi="Arial Narrow"/>
          <w:color w:val="808080"/>
          <w:sz w:val="16"/>
          <w:szCs w:val="16"/>
        </w:rPr>
        <w:t>Email</w:t>
      </w:r>
      <w:r w:rsidRPr="005A4D1D">
        <w:rPr>
          <w:rFonts w:ascii="Arial Narrow" w:hAnsi="Arial Narrow"/>
          <w:color w:val="808080"/>
          <w:sz w:val="16"/>
          <w:szCs w:val="16"/>
        </w:rPr>
        <w:t xml:space="preserve">: </w:t>
      </w:r>
      <w:hyperlink r:id="rId5" w:history="1">
        <w:r w:rsidRPr="000A2753">
          <w:rPr>
            <w:rStyle w:val="a3"/>
            <w:rFonts w:ascii="Arial Narrow" w:hAnsi="Arial Narrow"/>
            <w:sz w:val="16"/>
            <w:szCs w:val="16"/>
          </w:rPr>
          <w:t>avakhrin@a550.ru</w:t>
        </w:r>
      </w:hyperlink>
      <w:r>
        <w:rPr>
          <w:rFonts w:ascii="Arial Narrow" w:hAnsi="Arial Narrow"/>
          <w:color w:val="808080"/>
          <w:sz w:val="16"/>
          <w:szCs w:val="16"/>
        </w:rPr>
        <w:t xml:space="preserve"> </w:t>
      </w:r>
    </w:p>
    <w:p w14:paraId="1B5525FF" w14:textId="77777777" w:rsidR="00697FBC" w:rsidRPr="005A4D1D" w:rsidRDefault="00697FBC" w:rsidP="00697FBC">
      <w:pPr>
        <w:ind w:left="2112" w:firstLine="696"/>
        <w:rPr>
          <w:rFonts w:ascii="Arial Narrow" w:hAnsi="Arial Narrow"/>
          <w:color w:val="808080"/>
          <w:sz w:val="16"/>
          <w:szCs w:val="16"/>
        </w:rPr>
      </w:pPr>
      <w:r w:rsidRPr="005A4D1D">
        <w:rPr>
          <w:rFonts w:ascii="Arial Narrow" w:hAnsi="Arial Narrow"/>
          <w:color w:val="808080"/>
          <w:sz w:val="16"/>
          <w:szCs w:val="16"/>
        </w:rPr>
        <w:t xml:space="preserve">Р/С </w:t>
      </w:r>
      <w:r w:rsidRPr="00847138">
        <w:rPr>
          <w:rFonts w:ascii="Arial Narrow" w:hAnsi="Arial Narrow"/>
          <w:color w:val="808080"/>
          <w:sz w:val="16"/>
          <w:szCs w:val="16"/>
        </w:rPr>
        <w:t>40702810</w:t>
      </w:r>
      <w:r w:rsidRPr="005A4D1D">
        <w:rPr>
          <w:rFonts w:ascii="Arial Narrow" w:hAnsi="Arial Narrow"/>
          <w:color w:val="808080"/>
          <w:sz w:val="16"/>
          <w:szCs w:val="16"/>
        </w:rPr>
        <w:t>704000010360, к/с 30101810500000000816</w:t>
      </w:r>
    </w:p>
    <w:p w14:paraId="2C9F5E56" w14:textId="77777777" w:rsidR="00697FBC" w:rsidRDefault="00697FBC" w:rsidP="00697FBC">
      <w:pPr>
        <w:ind w:left="2112" w:firstLine="696"/>
        <w:rPr>
          <w:rFonts w:ascii="Arial Narrow" w:hAnsi="Arial Narrow"/>
          <w:color w:val="808080"/>
          <w:sz w:val="16"/>
          <w:szCs w:val="16"/>
        </w:rPr>
      </w:pPr>
      <w:r w:rsidRPr="005A4D1D">
        <w:rPr>
          <w:rFonts w:ascii="Arial Narrow" w:hAnsi="Arial Narrow"/>
          <w:color w:val="808080"/>
          <w:sz w:val="16"/>
          <w:szCs w:val="16"/>
        </w:rPr>
        <w:t>Сибирский филиал ОАО «Промсвязьбанк», БИК 045004816</w:t>
      </w:r>
    </w:p>
    <w:p w14:paraId="75725045" w14:textId="78F2D3A5" w:rsidR="002D1D42" w:rsidRDefault="00697FBC" w:rsidP="00697FBC">
      <w:pPr>
        <w:tabs>
          <w:tab w:val="center" w:pos="4677"/>
          <w:tab w:val="right" w:pos="9355"/>
        </w:tabs>
        <w:jc w:val="right"/>
        <w:rPr>
          <w:b/>
          <w:i/>
          <w:color w:val="17365D"/>
          <w:sz w:val="28"/>
          <w:szCs w:val="28"/>
        </w:rPr>
      </w:pPr>
      <w:r>
        <w:t>____________________________________</w:t>
      </w:r>
      <w:r w:rsidRPr="00F70164">
        <w:t>____________________________</w:t>
      </w:r>
    </w:p>
    <w:p w14:paraId="3D7E56A3" w14:textId="77777777" w:rsidR="002D1D42" w:rsidRDefault="002D1D42">
      <w:pPr>
        <w:tabs>
          <w:tab w:val="center" w:pos="4677"/>
          <w:tab w:val="right" w:pos="9355"/>
        </w:tabs>
        <w:jc w:val="center"/>
        <w:rPr>
          <w:b/>
          <w:i/>
          <w:color w:val="17365D"/>
          <w:sz w:val="40"/>
          <w:szCs w:val="40"/>
        </w:rPr>
      </w:pPr>
    </w:p>
    <w:p w14:paraId="34BF9F32" w14:textId="77777777" w:rsidR="002D1D42" w:rsidRDefault="002D1D42" w:rsidP="00BE6552">
      <w:pPr>
        <w:tabs>
          <w:tab w:val="center" w:pos="4677"/>
          <w:tab w:val="right" w:pos="9355"/>
        </w:tabs>
        <w:rPr>
          <w:b/>
          <w:i/>
          <w:sz w:val="40"/>
          <w:szCs w:val="40"/>
        </w:rPr>
      </w:pPr>
    </w:p>
    <w:p w14:paraId="364B04D3" w14:textId="77777777" w:rsidR="002D1D42" w:rsidRDefault="002D0ECD">
      <w:pPr>
        <w:tabs>
          <w:tab w:val="center" w:pos="4677"/>
          <w:tab w:val="right" w:pos="9355"/>
        </w:tabs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Паспорт</w:t>
      </w:r>
    </w:p>
    <w:p w14:paraId="7704ED50" w14:textId="260DC911" w:rsidR="002D1D42" w:rsidRDefault="002D0ECD">
      <w:pPr>
        <w:spacing w:before="280" w:after="280"/>
        <w:jc w:val="center"/>
        <w:rPr>
          <w:rFonts w:eastAsia="Calibri"/>
          <w:b/>
          <w:i/>
          <w:sz w:val="40"/>
          <w:szCs w:val="40"/>
          <w:lang w:eastAsia="en-US"/>
        </w:rPr>
      </w:pPr>
      <w:r>
        <w:rPr>
          <w:rFonts w:eastAsia="Calibri"/>
          <w:b/>
          <w:bCs/>
          <w:i/>
          <w:sz w:val="40"/>
          <w:szCs w:val="40"/>
          <w:lang w:eastAsia="en-US"/>
        </w:rPr>
        <w:t xml:space="preserve">Ручная гидравлическая тележка </w:t>
      </w:r>
      <w:r>
        <w:rPr>
          <w:rFonts w:eastAsia="Calibri"/>
          <w:b/>
          <w:bCs/>
          <w:i/>
          <w:sz w:val="40"/>
          <w:szCs w:val="40"/>
          <w:lang w:eastAsia="en-US"/>
        </w:rPr>
        <w:br/>
      </w:r>
      <w:r>
        <w:rPr>
          <w:rFonts w:eastAsia="Calibri"/>
          <w:b/>
          <w:bCs/>
          <w:i/>
          <w:sz w:val="40"/>
          <w:szCs w:val="40"/>
          <w:lang w:val="en-US" w:eastAsia="en-US"/>
        </w:rPr>
        <w:t>JC</w:t>
      </w:r>
      <w:r>
        <w:rPr>
          <w:rFonts w:eastAsia="Calibri"/>
          <w:b/>
          <w:bCs/>
          <w:i/>
          <w:sz w:val="40"/>
          <w:szCs w:val="40"/>
          <w:lang w:eastAsia="en-US"/>
        </w:rPr>
        <w:t xml:space="preserve"> 20, </w:t>
      </w:r>
      <w:r>
        <w:rPr>
          <w:rFonts w:eastAsia="Calibri"/>
          <w:b/>
          <w:bCs/>
          <w:i/>
          <w:sz w:val="40"/>
          <w:szCs w:val="40"/>
          <w:lang w:val="en-US" w:eastAsia="en-US"/>
        </w:rPr>
        <w:t>DF</w:t>
      </w:r>
      <w:r>
        <w:rPr>
          <w:rFonts w:eastAsia="Calibri"/>
          <w:b/>
          <w:bCs/>
          <w:i/>
          <w:sz w:val="40"/>
          <w:szCs w:val="40"/>
          <w:lang w:eastAsia="en-US"/>
        </w:rPr>
        <w:t xml:space="preserve"> 25, </w:t>
      </w:r>
      <w:r>
        <w:rPr>
          <w:rFonts w:eastAsia="Calibri"/>
          <w:b/>
          <w:bCs/>
          <w:i/>
          <w:sz w:val="40"/>
          <w:szCs w:val="40"/>
          <w:lang w:val="en-US" w:eastAsia="en-US"/>
        </w:rPr>
        <w:t>DF</w:t>
      </w:r>
      <w:r>
        <w:rPr>
          <w:rFonts w:eastAsia="Calibri"/>
          <w:b/>
          <w:bCs/>
          <w:i/>
          <w:sz w:val="40"/>
          <w:szCs w:val="40"/>
          <w:lang w:eastAsia="en-US"/>
        </w:rPr>
        <w:t xml:space="preserve"> 2515, </w:t>
      </w:r>
      <w:r>
        <w:rPr>
          <w:rFonts w:eastAsia="Calibri"/>
          <w:b/>
          <w:bCs/>
          <w:i/>
          <w:sz w:val="40"/>
          <w:szCs w:val="40"/>
          <w:lang w:val="en-US" w:eastAsia="en-US"/>
        </w:rPr>
        <w:t>DF</w:t>
      </w:r>
      <w:r w:rsidR="00FB71E0">
        <w:rPr>
          <w:rFonts w:eastAsia="Calibri"/>
          <w:b/>
          <w:bCs/>
          <w:i/>
          <w:sz w:val="40"/>
          <w:szCs w:val="40"/>
          <w:lang w:eastAsia="en-US"/>
        </w:rPr>
        <w:t>1</w:t>
      </w:r>
      <w:r>
        <w:rPr>
          <w:rFonts w:eastAsia="Calibri"/>
          <w:b/>
          <w:bCs/>
          <w:i/>
          <w:sz w:val="40"/>
          <w:szCs w:val="40"/>
          <w:lang w:eastAsia="en-US"/>
        </w:rPr>
        <w:t xml:space="preserve"> 2518</w:t>
      </w:r>
    </w:p>
    <w:p w14:paraId="13110E07" w14:textId="77777777" w:rsidR="002D1D42" w:rsidRDefault="002D0ECD">
      <w:pPr>
        <w:spacing w:before="280" w:after="280"/>
        <w:jc w:val="center"/>
        <w:rPr>
          <w:rFonts w:eastAsia="Calibri"/>
          <w:b/>
          <w:i/>
          <w:sz w:val="40"/>
          <w:szCs w:val="40"/>
          <w:lang w:eastAsia="en-US"/>
        </w:rPr>
      </w:pPr>
      <w:r>
        <w:rPr>
          <w:noProof/>
          <w:lang w:val="en-US" w:eastAsia="en-US"/>
        </w:rPr>
        <w:drawing>
          <wp:inline distT="0" distB="0" distL="0" distR="0" wp14:anchorId="0975F212" wp14:editId="0CD4588F">
            <wp:extent cx="3000375" cy="2971800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CEAE" w14:textId="7F458558" w:rsidR="002D1D42" w:rsidRDefault="002D1D42">
      <w:pPr>
        <w:tabs>
          <w:tab w:val="center" w:pos="4677"/>
          <w:tab w:val="right" w:pos="9355"/>
        </w:tabs>
        <w:jc w:val="center"/>
        <w:rPr>
          <w:rFonts w:eastAsia="Calibri"/>
          <w:b/>
          <w:i/>
          <w:sz w:val="40"/>
          <w:szCs w:val="40"/>
          <w:lang w:eastAsia="en-US"/>
        </w:rPr>
      </w:pPr>
    </w:p>
    <w:p w14:paraId="29198CDD" w14:textId="77777777" w:rsidR="00697FBC" w:rsidRDefault="00697FBC">
      <w:pPr>
        <w:tabs>
          <w:tab w:val="center" w:pos="4677"/>
          <w:tab w:val="right" w:pos="9355"/>
        </w:tabs>
        <w:jc w:val="center"/>
        <w:rPr>
          <w:rFonts w:eastAsia="Calibri"/>
          <w:b/>
          <w:i/>
          <w:sz w:val="40"/>
          <w:szCs w:val="40"/>
          <w:lang w:eastAsia="en-US"/>
        </w:rPr>
      </w:pPr>
    </w:p>
    <w:p w14:paraId="7A2C9C29" w14:textId="77777777" w:rsidR="002D1D42" w:rsidRDefault="002D0ECD">
      <w:pPr>
        <w:tabs>
          <w:tab w:val="center" w:pos="4677"/>
          <w:tab w:val="right" w:pos="9355"/>
        </w:tabs>
        <w:jc w:val="center"/>
      </w:pPr>
      <w:r>
        <w:t xml:space="preserve">г. </w:t>
      </w:r>
      <w:r>
        <w:rPr>
          <w:bCs/>
          <w:color w:val="1E1E1E"/>
          <w:shd w:val="clear" w:color="auto" w:fill="FFFFFF"/>
        </w:rPr>
        <w:t>Новосибирск, проспект Карла Маркса, дом № 57, офис 514</w:t>
      </w:r>
    </w:p>
    <w:p w14:paraId="1C6FBE84" w14:textId="77777777" w:rsidR="002D1D42" w:rsidRPr="00BE6552" w:rsidRDefault="002D0ECD">
      <w:pPr>
        <w:tabs>
          <w:tab w:val="center" w:pos="4677"/>
          <w:tab w:val="right" w:pos="9355"/>
        </w:tabs>
        <w:jc w:val="center"/>
      </w:pPr>
      <w:r>
        <w:t>т</w:t>
      </w:r>
      <w:r w:rsidRPr="00BE6552">
        <w:t xml:space="preserve">. </w:t>
      </w:r>
      <w:r w:rsidRPr="00BE6552">
        <w:rPr>
          <w:color w:val="000000"/>
          <w:shd w:val="clear" w:color="auto" w:fill="FFFFFF"/>
        </w:rPr>
        <w:t>8 (383) 383-21-40, 8 (499) 322-13-66</w:t>
      </w:r>
    </w:p>
    <w:p w14:paraId="05EC9DE8" w14:textId="77777777" w:rsidR="002D1D42" w:rsidRDefault="002D0ECD">
      <w:pPr>
        <w:spacing w:before="280" w:after="280"/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1. ОБЩИЕ СВЕДЕНИЯ ОБ ИЗДЕЛИИ</w:t>
      </w:r>
    </w:p>
    <w:p w14:paraId="6172797D" w14:textId="77777777" w:rsidR="002D1D42" w:rsidRDefault="002D0E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Ручные тележки для транспортировки грузов на поддонах серии </w:t>
      </w:r>
      <w:r>
        <w:rPr>
          <w:sz w:val="22"/>
          <w:szCs w:val="22"/>
          <w:lang w:val="en-US"/>
        </w:rPr>
        <w:t>JC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DF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DFL</w:t>
      </w:r>
      <w:r>
        <w:rPr>
          <w:sz w:val="22"/>
          <w:szCs w:val="22"/>
        </w:rPr>
        <w:t xml:space="preserve"> (далее – тележка) используются на фабриках, в магазинах, на складах и в прочих сферах. Тележки предназначены для погрузочно-разгрузочных с материалом с небольшой высотой подъёма. Тележки серии </w:t>
      </w:r>
      <w:r>
        <w:rPr>
          <w:sz w:val="22"/>
          <w:szCs w:val="22"/>
          <w:lang w:val="en-US"/>
        </w:rPr>
        <w:t>JC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DF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DFL</w:t>
      </w:r>
      <w:r>
        <w:rPr>
          <w:sz w:val="22"/>
          <w:szCs w:val="22"/>
        </w:rPr>
        <w:t xml:space="preserve"> могут использоваться для транспортировки всех видов тяжелых грузов.</w:t>
      </w:r>
    </w:p>
    <w:p w14:paraId="7FAB90B0" w14:textId="77777777" w:rsidR="002D1D42" w:rsidRDefault="002D0E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Область применения тележек — это производственные и складские помещения, фабрики, торговые залы, предприятия общественного питания и гостиницы, типографии и др. помещения. </w:t>
      </w:r>
    </w:p>
    <w:p w14:paraId="73DABFCC" w14:textId="77777777" w:rsidR="002D1D42" w:rsidRDefault="002D0E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Данная ручная тележка для транспортировки грузов на поддонах должна использоваться на жёсткой плоской поверхности при температуре окружающей среды между -10 ~ 40 ℃. </w:t>
      </w:r>
    </w:p>
    <w:p w14:paraId="29FCEBB9" w14:textId="77777777" w:rsidR="002D1D42" w:rsidRDefault="002D0ECD">
      <w:pPr>
        <w:jc w:val="both"/>
        <w:rPr>
          <w:sz w:val="22"/>
          <w:szCs w:val="22"/>
        </w:rPr>
      </w:pPr>
      <w:r>
        <w:rPr>
          <w:sz w:val="22"/>
          <w:szCs w:val="22"/>
        </w:rPr>
        <w:t>1.4. Тележка для перемещения грузов на поддонах обеспечивает плавный безопасный подъём, проста в эксплуатации, качество её исполнения обеспечивает надёжность в обращении.</w:t>
      </w:r>
    </w:p>
    <w:p w14:paraId="66EBE05C" w14:textId="77777777" w:rsidR="002D1D42" w:rsidRDefault="002D1D42">
      <w:pPr>
        <w:jc w:val="both"/>
        <w:rPr>
          <w:sz w:val="22"/>
          <w:szCs w:val="22"/>
        </w:rPr>
      </w:pPr>
    </w:p>
    <w:p w14:paraId="020B268E" w14:textId="77777777" w:rsidR="002D1D42" w:rsidRDefault="002D0ECD">
      <w:pPr>
        <w:spacing w:after="200" w:line="276" w:lineRule="auto"/>
        <w:ind w:firstLine="708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2.   ОСНОВНЫЕ ТЕХНИЧЕСКИЕ ДАННЫЕ</w:t>
      </w:r>
    </w:p>
    <w:tbl>
      <w:tblPr>
        <w:tblW w:w="78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81"/>
        <w:gridCol w:w="1238"/>
        <w:gridCol w:w="1134"/>
        <w:gridCol w:w="1134"/>
        <w:gridCol w:w="1276"/>
        <w:gridCol w:w="1216"/>
      </w:tblGrid>
      <w:tr w:rsidR="002D1D42" w14:paraId="79A4E378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D61A" w14:textId="77777777" w:rsidR="002D1D42" w:rsidRDefault="002D0EC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Модель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65FC" w14:textId="77777777" w:rsidR="002D1D42" w:rsidRDefault="002D0ECD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JC 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4A68" w14:textId="77777777" w:rsidR="002D1D42" w:rsidRDefault="002D0ECD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DF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6AFC" w14:textId="77777777" w:rsidR="002D1D42" w:rsidRDefault="002D0ECD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DF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169E" w14:textId="257440C5" w:rsidR="002D1D42" w:rsidRDefault="002D0ECD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DF 2515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99C5" w14:textId="77E5790A" w:rsidR="002D1D42" w:rsidRDefault="002D0ECD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DF 2518</w:t>
            </w:r>
          </w:p>
        </w:tc>
      </w:tr>
      <w:tr w:rsidR="002D1D42" w14:paraId="4256F314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68AE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Габариты, мм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BF3E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550*1150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73CE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550*1150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8E35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550*1150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8881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550*1500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A371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550*1800</w:t>
            </w:r>
          </w:p>
        </w:tc>
      </w:tr>
      <w:tr w:rsidR="002D1D42" w14:paraId="76920541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159E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Вес, кг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0F96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C860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17BE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9A15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84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EB19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90</w:t>
            </w:r>
          </w:p>
        </w:tc>
      </w:tr>
      <w:tr w:rsidR="002D1D42" w14:paraId="18EA347C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9363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Грузоподъёмность, кг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11B5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374D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6A33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0F94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2500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6D92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2500</w:t>
            </w:r>
          </w:p>
        </w:tc>
      </w:tr>
      <w:tr w:rsidR="002D1D42" w14:paraId="612805B1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4698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Макс. высота подъёма, мм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3558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195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6230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195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9085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195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2A4B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195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28FA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195</w:t>
            </w:r>
          </w:p>
        </w:tc>
      </w:tr>
      <w:tr w:rsidR="002D1D42" w14:paraId="3B5E110E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2F57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Высота подхвата, мм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06DA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C8C4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CC70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B83C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85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9D94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85</w:t>
            </w:r>
          </w:p>
        </w:tc>
      </w:tr>
      <w:tr w:rsidR="002D1D42" w14:paraId="22A57820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1B35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Ширина одной вилы, мм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80EA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87D9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4675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B9F1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160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184F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160</w:t>
            </w:r>
          </w:p>
        </w:tc>
      </w:tr>
      <w:tr w:rsidR="002D1D42" w14:paraId="052850FC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2CFB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Расстояние между вилами, мм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6C5A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AA5C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7A65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230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289E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0A84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230</w:t>
            </w:r>
          </w:p>
        </w:tc>
      </w:tr>
      <w:tr w:rsidR="002D1D42" w14:paraId="30598497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7DBA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Тип гидроузла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52E3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разборный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B44A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разборный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7565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разборный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5690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разборный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DF55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разборный</w:t>
            </w:r>
          </w:p>
        </w:tc>
      </w:tr>
      <w:tr w:rsidR="0016075E" w14:paraId="22D17B23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6316" w14:textId="4EEE4E8B" w:rsidR="0016075E" w:rsidRDefault="0016075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Радиус поворота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18EF" w14:textId="0A98821D" w:rsidR="0016075E" w:rsidRDefault="0016075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FC7" w14:textId="13442315" w:rsidR="0016075E" w:rsidRDefault="0016075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EECD" w14:textId="6892931D" w:rsidR="0016075E" w:rsidRDefault="0016075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E937" w14:textId="25CFF402" w:rsidR="0016075E" w:rsidRDefault="0016075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CC67" w14:textId="43FC21AB" w:rsidR="0016075E" w:rsidRDefault="0016075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</w:t>
            </w:r>
          </w:p>
        </w:tc>
      </w:tr>
      <w:tr w:rsidR="002D1D42" w14:paraId="5EE9F76E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7178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Размер ведущих колёс, мм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D458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180*50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264F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180*50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8594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180*50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79A5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180*50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AAF2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180*50</w:t>
            </w:r>
          </w:p>
        </w:tc>
      </w:tr>
      <w:tr w:rsidR="002D1D42" w14:paraId="2E4BF4FB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17EB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Размер подвилочных роликов, мм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6DDB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80*70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6271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80*70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7ADE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80*70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6D30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80*70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C2C5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80*70</w:t>
            </w:r>
          </w:p>
        </w:tc>
      </w:tr>
      <w:tr w:rsidR="002D1D42" w14:paraId="4F29BEFF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0CF0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Материал колёс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1F2A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полиуретан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6F24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полиуретан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8CAD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нейлон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7F19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полиуретан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A90A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полиуретан</w:t>
            </w:r>
          </w:p>
        </w:tc>
      </w:tr>
      <w:tr w:rsidR="002D1D42" w14:paraId="6511DECB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18BA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Ширина упаковки, мм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541D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AD62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6211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FB5E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3325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550</w:t>
            </w:r>
          </w:p>
        </w:tc>
      </w:tr>
      <w:tr w:rsidR="002D1D42" w14:paraId="17EE08AD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EF1B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Глубина упаковки, мм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C517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B496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9EEF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F263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CFAE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</w:tr>
      <w:tr w:rsidR="002D1D42" w14:paraId="6CC21176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8CBF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Размер усилителя жесткости, мм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4232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4497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3930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A23B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8952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1400</w:t>
            </w:r>
          </w:p>
        </w:tc>
      </w:tr>
      <w:tr w:rsidR="002D1D42" w14:paraId="518B0ED9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D3AD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Толщина метала вил, мм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7EC5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2D33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CB00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B82A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3,5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CBCC" w14:textId="77777777" w:rsidR="002D1D42" w:rsidRDefault="002D0EC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3,5</w:t>
            </w:r>
          </w:p>
        </w:tc>
      </w:tr>
      <w:tr w:rsidR="00D94788" w14:paraId="5868963B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5674" w14:textId="009957A8" w:rsidR="00D94788" w:rsidRDefault="00D9478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Высота тележки в сборном виде с учетом ручки, мм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7E1A" w14:textId="11E79048" w:rsidR="00D94788" w:rsidRDefault="00AD5C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7CBF" w14:textId="09836568" w:rsidR="00D94788" w:rsidRDefault="00AD5C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61F0" w14:textId="052D8348" w:rsidR="00D94788" w:rsidRDefault="00AD5C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F0A8" w14:textId="2325305A" w:rsidR="00D94788" w:rsidRDefault="00AD5C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26E9" w14:textId="6DE41E8A" w:rsidR="00D94788" w:rsidRDefault="00AD5C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</w:t>
            </w:r>
          </w:p>
        </w:tc>
      </w:tr>
      <w:tr w:rsidR="00D94788" w14:paraId="7D84C26B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CA80" w14:textId="7BDADED2" w:rsidR="00D94788" w:rsidRDefault="00D9478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Высота корпуса тележки без учета ручки, мм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75A8" w14:textId="5E30A489" w:rsidR="00D94788" w:rsidRDefault="00AD5C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69BF" w14:textId="0ACD0F2A" w:rsidR="00D94788" w:rsidRDefault="00AD5C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BBAD" w14:textId="2E803A93" w:rsidR="00D94788" w:rsidRDefault="00AD5C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95EB" w14:textId="27CA41D7" w:rsidR="00D94788" w:rsidRDefault="00AD5C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2972" w14:textId="5BA28E4E" w:rsidR="00D94788" w:rsidRDefault="00AD5C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430</w:t>
            </w:r>
          </w:p>
        </w:tc>
      </w:tr>
      <w:tr w:rsidR="00D94788" w14:paraId="3E399363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A2FC" w14:textId="03E18AAA" w:rsidR="00D94788" w:rsidRDefault="00D9478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Длина ручки, мм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8120" w14:textId="1EE2F55C" w:rsidR="00D94788" w:rsidRDefault="00AD5C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91D2" w14:textId="54E29C6B" w:rsidR="00D94788" w:rsidRDefault="00AD5C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2664" w14:textId="50E42198" w:rsidR="00D94788" w:rsidRDefault="00AD5C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A2F8" w14:textId="7E6CDDAC" w:rsidR="00D94788" w:rsidRDefault="00AD5C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D95C" w14:textId="2D35B4F5" w:rsidR="00D94788" w:rsidRDefault="00AD5C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860</w:t>
            </w:r>
          </w:p>
        </w:tc>
      </w:tr>
      <w:tr w:rsidR="00D94788" w14:paraId="6F443B1A" w14:textId="7777777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82CB" w14:textId="2FB1A561" w:rsidR="00D94788" w:rsidRDefault="00D9478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длина тележки в сборном виде, мм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78FE" w14:textId="64E843ED" w:rsidR="00D94788" w:rsidRDefault="00AD5C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7A8C" w14:textId="420CCEE3" w:rsidR="00D94788" w:rsidRDefault="00AD5C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1144" w14:textId="60315A41" w:rsidR="00D94788" w:rsidRDefault="00AD5CB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57B0" w14:textId="3FD9152C" w:rsidR="00D94788" w:rsidRPr="00FB71E0" w:rsidRDefault="00FB71E0" w:rsidP="00FB71E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B71E0">
              <w:rPr>
                <w:rFonts w:eastAsia="Calibri"/>
                <w:sz w:val="18"/>
                <w:szCs w:val="18"/>
                <w:lang w:eastAsia="en-US"/>
              </w:rPr>
              <w:t>1920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C9AF" w14:textId="26A6D91D" w:rsidR="00D94788" w:rsidRPr="002D0ECD" w:rsidRDefault="00FB71E0">
            <w:pPr>
              <w:jc w:val="center"/>
              <w:rPr>
                <w:rFonts w:eastAsia="Calibri"/>
                <w:sz w:val="18"/>
                <w:szCs w:val="18"/>
                <w:highlight w:val="red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2250</w:t>
            </w:r>
            <w:r w:rsidR="002D0ECD" w:rsidRPr="00FB71E0"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</w:p>
        </w:tc>
      </w:tr>
    </w:tbl>
    <w:p w14:paraId="5EC58E72" w14:textId="77777777" w:rsidR="002D1D42" w:rsidRDefault="002D1D42">
      <w:pPr>
        <w:spacing w:before="280" w:after="280"/>
        <w:ind w:left="720"/>
        <w:contextualSpacing/>
        <w:jc w:val="both"/>
        <w:rPr>
          <w:rFonts w:eastAsia="Calibri"/>
          <w:sz w:val="18"/>
          <w:szCs w:val="18"/>
          <w:lang w:eastAsia="en-US"/>
        </w:rPr>
      </w:pPr>
    </w:p>
    <w:p w14:paraId="5BF68FAB" w14:textId="77777777" w:rsidR="002D1D42" w:rsidRDefault="002D0ECD">
      <w:pPr>
        <w:spacing w:before="280" w:after="28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Для облегчения транспортировки ручка и корпус тележки упаковываются раздельно.</w:t>
      </w:r>
    </w:p>
    <w:p w14:paraId="1CF26E50" w14:textId="77777777" w:rsidR="002D1D42" w:rsidRDefault="002D0ECD">
      <w:pPr>
        <w:spacing w:before="280" w:after="28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 w14:paraId="1B7EA8B7" w14:textId="77777777" w:rsidR="002D1D42" w:rsidRDefault="002D0ECD">
      <w:pPr>
        <w:ind w:firstLine="708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3. ИНСТРУКЦИЯ ПО СБОРКЕ</w:t>
      </w:r>
    </w:p>
    <w:p w14:paraId="651B2A0D" w14:textId="77777777" w:rsidR="002D1D42" w:rsidRDefault="002D0ECD">
      <w:pPr>
        <w:ind w:firstLine="708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Установка ручки</w:t>
      </w:r>
    </w:p>
    <w:p w14:paraId="5E29300E" w14:textId="77777777" w:rsidR="002D1D42" w:rsidRDefault="002D0ECD">
      <w:pPr>
        <w:jc w:val="both"/>
      </w:pPr>
      <w:r>
        <w:rPr>
          <w:rFonts w:eastAsia="Calibri"/>
          <w:sz w:val="22"/>
          <w:szCs w:val="22"/>
          <w:lang w:eastAsia="en-US"/>
        </w:rPr>
        <w:t>3.1</w:t>
      </w:r>
      <w:r>
        <w:rPr>
          <w:sz w:val="22"/>
          <w:szCs w:val="22"/>
        </w:rPr>
        <w:t>.</w:t>
      </w:r>
      <w:r>
        <w:rPr>
          <w:rFonts w:eastAsia="Calibri"/>
          <w:sz w:val="22"/>
          <w:szCs w:val="22"/>
          <w:lang w:eastAsia="en-US"/>
        </w:rPr>
        <w:t xml:space="preserve"> Установите ручку сверху стержня цилиндра и ударьте вал позиционирования ручки молотком, чтобы он вошёл в отверстие между гидравлическим насосом и ручкой. Вал позиционирования должен располагаться по центру отверстия в направлении "\", отверстие пружинного штифта должно быть обращено к вам.</w:t>
      </w:r>
    </w:p>
    <w:p w14:paraId="6D25622C" w14:textId="77777777" w:rsidR="002D1D42" w:rsidRDefault="002D0ECD">
      <w:pPr>
        <w:jc w:val="both"/>
      </w:pPr>
      <w:r>
        <w:rPr>
          <w:rFonts w:eastAsia="Calibri"/>
          <w:sz w:val="22"/>
          <w:szCs w:val="22"/>
          <w:lang w:eastAsia="en-US"/>
        </w:rPr>
        <w:t>3.2. Затем используйте плоскогубцы и молоток, чтобы забить пружинный штифт в вал позиционирования.</w:t>
      </w:r>
    </w:p>
    <w:p w14:paraId="4E343110" w14:textId="77777777" w:rsidR="002D1D42" w:rsidRDefault="002D0ECD">
      <w:pPr>
        <w:jc w:val="both"/>
      </w:pPr>
      <w:r>
        <w:rPr>
          <w:rFonts w:eastAsia="Calibri"/>
          <w:sz w:val="22"/>
          <w:szCs w:val="22"/>
          <w:lang w:eastAsia="en-US"/>
        </w:rPr>
        <w:t>3.3. Опустите ручку, снимите ограничительный рычаг стержня цилиндра.</w:t>
      </w:r>
    </w:p>
    <w:p w14:paraId="434B0F0D" w14:textId="77777777" w:rsidR="002D1D42" w:rsidRDefault="002D0EC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3.4. Пропустите откидной болт, шестигранную гайку, неметаллическую вставную зажимную гайку и цепь через центральное отверстие вала позиционирования ручки. Затем настройте педальное управление. Разместите откидной болт в пазу перед ним, а шестигранную гайку сверху педального управления, и вставьте неметаллическую вставную зажимную гайку под педальное управление.</w:t>
      </w:r>
    </w:p>
    <w:p w14:paraId="318D3034" w14:textId="77777777" w:rsidR="002D1D42" w:rsidRDefault="002D0EC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Таким образом, ручка будет установлена на гидравлическом насосе.</w:t>
      </w:r>
    </w:p>
    <w:p w14:paraId="107F0380" w14:textId="77777777" w:rsidR="002D1D42" w:rsidRDefault="002D1D42">
      <w:pPr>
        <w:jc w:val="both"/>
        <w:rPr>
          <w:rFonts w:eastAsia="Calibri"/>
          <w:sz w:val="22"/>
          <w:szCs w:val="22"/>
          <w:lang w:eastAsia="en-US"/>
        </w:rPr>
      </w:pPr>
    </w:p>
    <w:p w14:paraId="73B5F959" w14:textId="77777777" w:rsidR="002D1D42" w:rsidRDefault="002D0ECD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>Настройка буферного устройства</w:t>
      </w:r>
    </w:p>
    <w:p w14:paraId="272BBFD9" w14:textId="77777777" w:rsidR="002D1D42" w:rsidRDefault="002D0EC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3.5. Механизм управления гидравлической тележкой серии </w:t>
      </w:r>
      <w:r>
        <w:rPr>
          <w:rFonts w:eastAsia="Calibri"/>
          <w:sz w:val="22"/>
          <w:szCs w:val="22"/>
          <w:lang w:val="en-US" w:eastAsia="en-US"/>
        </w:rPr>
        <w:t>JC</w:t>
      </w:r>
      <w:r>
        <w:rPr>
          <w:rFonts w:eastAsia="Calibr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2"/>
          <w:lang w:val="en-US" w:eastAsia="en-US"/>
        </w:rPr>
        <w:t>DF</w:t>
      </w:r>
      <w:r>
        <w:rPr>
          <w:rFonts w:eastAsia="Calibr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2"/>
          <w:lang w:val="en-US" w:eastAsia="en-US"/>
        </w:rPr>
        <w:t>DFL</w:t>
      </w:r>
      <w:r>
        <w:rPr>
          <w:rFonts w:eastAsia="Calibri"/>
          <w:sz w:val="22"/>
          <w:szCs w:val="22"/>
          <w:lang w:eastAsia="en-US"/>
        </w:rPr>
        <w:t xml:space="preserve"> находится над ручкой самой тележки. </w:t>
      </w:r>
    </w:p>
    <w:p w14:paraId="546BACB1" w14:textId="77777777" w:rsidR="002D1D42" w:rsidRDefault="002D0ECD">
      <w:pPr>
        <w:jc w:val="both"/>
      </w:pPr>
      <w:r>
        <w:rPr>
          <w:rFonts w:eastAsia="Calibri"/>
          <w:sz w:val="22"/>
          <w:szCs w:val="22"/>
          <w:lang w:eastAsia="en-US"/>
        </w:rPr>
        <w:t>3.6. Механизм управления имеет три положения:</w:t>
      </w:r>
    </w:p>
    <w:p w14:paraId="41CCD95E" w14:textId="77777777" w:rsidR="002D1D42" w:rsidRDefault="002D0ECD">
      <w:pPr>
        <w:jc w:val="both"/>
      </w:pPr>
      <w:r>
        <w:rPr>
          <w:rFonts w:eastAsia="Calibri"/>
          <w:sz w:val="22"/>
          <w:szCs w:val="22"/>
          <w:lang w:eastAsia="en-US"/>
        </w:rPr>
        <w:t xml:space="preserve">- </w:t>
      </w:r>
      <w:r>
        <w:rPr>
          <w:rFonts w:eastAsia="Calibri"/>
          <w:sz w:val="22"/>
          <w:szCs w:val="22"/>
          <w:lang w:val="en-US" w:eastAsia="en-US"/>
        </w:rPr>
        <w:t>LOWER</w:t>
      </w:r>
      <w:r>
        <w:rPr>
          <w:rFonts w:eastAsia="Calibri"/>
          <w:sz w:val="22"/>
          <w:szCs w:val="22"/>
          <w:lang w:eastAsia="en-US"/>
        </w:rPr>
        <w:t>: опускание – положения опускания;</w:t>
      </w:r>
    </w:p>
    <w:p w14:paraId="6ABBC788" w14:textId="77777777" w:rsidR="002D1D42" w:rsidRDefault="002D0EC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>
        <w:rPr>
          <w:rFonts w:eastAsia="Calibri"/>
          <w:sz w:val="22"/>
          <w:szCs w:val="22"/>
          <w:lang w:val="en-US" w:eastAsia="en-US"/>
        </w:rPr>
        <w:t>DRIVE</w:t>
      </w:r>
      <w:r>
        <w:rPr>
          <w:rFonts w:eastAsia="Calibri"/>
          <w:sz w:val="22"/>
          <w:szCs w:val="22"/>
          <w:lang w:eastAsia="en-US"/>
        </w:rPr>
        <w:t>: движение – среднее положение;</w:t>
      </w:r>
    </w:p>
    <w:p w14:paraId="40E2AB2F" w14:textId="77777777" w:rsidR="002D1D42" w:rsidRDefault="002D0ECD">
      <w:pPr>
        <w:jc w:val="both"/>
      </w:pPr>
      <w:r>
        <w:rPr>
          <w:rFonts w:eastAsia="Calibri"/>
          <w:sz w:val="22"/>
          <w:szCs w:val="22"/>
          <w:lang w:eastAsia="en-US"/>
        </w:rPr>
        <w:t xml:space="preserve">- </w:t>
      </w:r>
      <w:r>
        <w:rPr>
          <w:rFonts w:eastAsia="Calibri"/>
          <w:sz w:val="22"/>
          <w:szCs w:val="22"/>
          <w:lang w:val="en-US" w:eastAsia="en-US"/>
        </w:rPr>
        <w:t>RAISE</w:t>
      </w:r>
      <w:r>
        <w:rPr>
          <w:rFonts w:eastAsia="Calibri"/>
          <w:sz w:val="22"/>
          <w:szCs w:val="22"/>
          <w:lang w:eastAsia="en-US"/>
        </w:rPr>
        <w:t>: подъём – положение подъёма.</w:t>
      </w:r>
    </w:p>
    <w:p w14:paraId="52CE10CD" w14:textId="77777777" w:rsidR="002D1D42" w:rsidRDefault="002D0ECD">
      <w:pPr>
        <w:jc w:val="both"/>
      </w:pPr>
      <w:r>
        <w:rPr>
          <w:rFonts w:eastAsia="Calibri"/>
          <w:sz w:val="22"/>
          <w:szCs w:val="22"/>
          <w:lang w:eastAsia="en-US"/>
        </w:rPr>
        <w:t xml:space="preserve">3.7. После окончания работы механизм управления необходимо перевести в положение </w:t>
      </w:r>
      <w:r>
        <w:rPr>
          <w:rFonts w:eastAsia="Calibri"/>
          <w:sz w:val="22"/>
          <w:szCs w:val="22"/>
          <w:lang w:val="en-US" w:eastAsia="en-US"/>
        </w:rPr>
        <w:t>MIDDLE</w:t>
      </w:r>
      <w:r>
        <w:rPr>
          <w:rFonts w:eastAsia="Calibri"/>
          <w:sz w:val="22"/>
          <w:szCs w:val="22"/>
          <w:lang w:eastAsia="en-US"/>
        </w:rPr>
        <w:t xml:space="preserve"> (Среднее). </w:t>
      </w:r>
    </w:p>
    <w:p w14:paraId="4667636F" w14:textId="2F204915" w:rsidR="002D1D42" w:rsidRDefault="002D0EC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3.8. Эти три положения управления гидравлической тележкой были настроены соответствующим образом перед отправкой с завода.</w:t>
      </w:r>
    </w:p>
    <w:p w14:paraId="04A06DC5" w14:textId="199FC874" w:rsidR="00AD5E2C" w:rsidRDefault="00AD5E2C">
      <w:pPr>
        <w:jc w:val="both"/>
        <w:rPr>
          <w:rFonts w:eastAsia="Calibri"/>
          <w:sz w:val="22"/>
          <w:szCs w:val="22"/>
          <w:lang w:eastAsia="en-US"/>
        </w:rPr>
      </w:pPr>
    </w:p>
    <w:p w14:paraId="21D9D239" w14:textId="3C62A482" w:rsidR="00AD5E2C" w:rsidRDefault="00AD5E2C">
      <w:pPr>
        <w:jc w:val="both"/>
        <w:rPr>
          <w:rFonts w:eastAsia="Calibri"/>
          <w:sz w:val="22"/>
          <w:szCs w:val="22"/>
          <w:lang w:eastAsia="en-US"/>
        </w:rPr>
      </w:pPr>
    </w:p>
    <w:p w14:paraId="2F4DD3DD" w14:textId="77777777" w:rsidR="00AD5E2C" w:rsidRDefault="00AD5E2C">
      <w:pPr>
        <w:jc w:val="both"/>
        <w:rPr>
          <w:rFonts w:eastAsia="Calibri"/>
          <w:sz w:val="22"/>
          <w:szCs w:val="22"/>
          <w:lang w:eastAsia="en-US"/>
        </w:rPr>
      </w:pPr>
    </w:p>
    <w:p w14:paraId="075E86CC" w14:textId="77777777" w:rsidR="002D1D42" w:rsidRDefault="002D1D42">
      <w:pPr>
        <w:ind w:left="720"/>
        <w:rPr>
          <w:rFonts w:eastAsia="Calibri"/>
          <w:sz w:val="22"/>
          <w:szCs w:val="22"/>
          <w:lang w:eastAsia="en-US"/>
        </w:rPr>
      </w:pPr>
    </w:p>
    <w:p w14:paraId="5066020C" w14:textId="77777777" w:rsidR="002D1D42" w:rsidRDefault="002D0ECD">
      <w:pPr>
        <w:ind w:left="708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4. УСЛОВИЯ ЭКСПЛУАТАЦИИ, ОБСЛУЖИВАНИЕ, ТРАНСПОРТИРОВКА</w:t>
      </w:r>
    </w:p>
    <w:p w14:paraId="74695A34" w14:textId="77777777" w:rsidR="002D1D42" w:rsidRDefault="002D0ECD">
      <w:pPr>
        <w:ind w:left="708"/>
        <w:rPr>
          <w:b/>
          <w:sz w:val="22"/>
          <w:szCs w:val="22"/>
        </w:rPr>
      </w:pPr>
      <w:r>
        <w:rPr>
          <w:b/>
          <w:sz w:val="22"/>
          <w:szCs w:val="22"/>
        </w:rPr>
        <w:br/>
        <w:t>Общие требования</w:t>
      </w:r>
    </w:p>
    <w:p w14:paraId="08B6608D" w14:textId="77777777" w:rsidR="002D1D42" w:rsidRDefault="002D0ECD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 xml:space="preserve">4.1. Изделие необходимо содержать в чистоте. </w:t>
      </w:r>
    </w:p>
    <w:p w14:paraId="57A2A4D0" w14:textId="77777777" w:rsidR="002D1D42" w:rsidRDefault="002D0ECD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4.2. Запрещается работать в агрессивной среде.</w:t>
      </w:r>
    </w:p>
    <w:p w14:paraId="1599A41F" w14:textId="77777777" w:rsidR="002D1D42" w:rsidRDefault="002D0ECD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4.3. По мере необходимости смазывайте густой смазкой оси и втулки колес.</w:t>
      </w:r>
    </w:p>
    <w:p w14:paraId="4239E399" w14:textId="77777777" w:rsidR="002D1D42" w:rsidRDefault="002D0ECD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4.4. Тележки должны эксплуатироваться только на ровных, гладких и твёрдых покрытиях.</w:t>
      </w:r>
    </w:p>
    <w:p w14:paraId="41DD301C" w14:textId="77777777" w:rsidR="002D1D42" w:rsidRDefault="002D0ECD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4.5. Перевозимый груз должен быть равномерно расположен по всей плоскости грузовой платформы.</w:t>
      </w:r>
    </w:p>
    <w:p w14:paraId="5D8B7F9B" w14:textId="77777777" w:rsidR="002D1D42" w:rsidRDefault="002D0ECD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4.6.  Нельзя бросать груз на платформу.</w:t>
      </w:r>
    </w:p>
    <w:p w14:paraId="4BAB4A8E" w14:textId="77777777" w:rsidR="002D1D42" w:rsidRDefault="002D0ECD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4.7. Вес груза не должен превышать грузоподъёмность тележки.</w:t>
      </w:r>
    </w:p>
    <w:p w14:paraId="0557FCFC" w14:textId="77777777" w:rsidR="002D1D42" w:rsidRDefault="002D0ECD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4.8. Не допускается рывков и резких нажатий на ручку при начале движения тележки.</w:t>
      </w:r>
    </w:p>
    <w:p w14:paraId="1B910965" w14:textId="77777777" w:rsidR="002D1D42" w:rsidRDefault="002D0ECD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4.9. Запрещено перевозить на тележке людей.</w:t>
      </w:r>
    </w:p>
    <w:p w14:paraId="262223DC" w14:textId="77777777" w:rsidR="002D1D42" w:rsidRDefault="002D0ECD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4.10. Запрещено использовать тележку в качестве прицепа к другим транспортным средствам.</w:t>
      </w:r>
    </w:p>
    <w:p w14:paraId="06C6834C" w14:textId="77777777" w:rsidR="002D1D42" w:rsidRDefault="002D0ECD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4.11. При начале движения тележка должна быть наклонена в сторону использующего ее человека.</w:t>
      </w:r>
    </w:p>
    <w:p w14:paraId="08A79BF5" w14:textId="77777777" w:rsidR="002D1D42" w:rsidRDefault="002D0ECD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4.12. При остановке нужно плавно вернуть тележку в вертикальное положение, при необходимости придерживая груз.</w:t>
      </w:r>
    </w:p>
    <w:p w14:paraId="2116B2F7" w14:textId="77777777" w:rsidR="002D1D42" w:rsidRDefault="002D0ECD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4.13.  Запрещено оставлять тележку с грузом без контроля на наклонных поверхностях.</w:t>
      </w:r>
    </w:p>
    <w:p w14:paraId="7EDC609A" w14:textId="77777777" w:rsidR="002D1D42" w:rsidRDefault="002D0ECD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4.14. Любые изменения данной тележки, не предусмотренные производителем, освобождают его от ответственности за неисправности, возникшие вследствие этих изменений.</w:t>
      </w:r>
    </w:p>
    <w:p w14:paraId="677300F5" w14:textId="77777777" w:rsidR="002D1D42" w:rsidRDefault="002D0ECD">
      <w:pPr>
        <w:pStyle w:val="a8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4.15. Необходимо убедиться, что в процессе эксплуатации тележки не возникает опасности для третьих лиц. В противном случае следует прекратить работу с тележкой.</w:t>
      </w:r>
    </w:p>
    <w:p w14:paraId="41F8B183" w14:textId="77777777" w:rsidR="002D1D42" w:rsidRDefault="002D0ECD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4.16. Следите за ступнями ног перед движущейся тележкой.</w:t>
      </w:r>
    </w:p>
    <w:p w14:paraId="7CBEC7C0" w14:textId="77777777" w:rsidR="002D1D42" w:rsidRDefault="002D0ECD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4.17. В местах перепада уровней пола следует замедлять движение, чтобы избежать падения груза.</w:t>
      </w:r>
    </w:p>
    <w:p w14:paraId="3E0216CC" w14:textId="77777777" w:rsidR="002D1D42" w:rsidRDefault="002D0ECD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>4.18. Тележка может транспортироваться любым видом транспорта в соответствии с «Правилами перевозки грузов», действующими на каждом виде транспорта. При транспортировке не допускается воздействие прямых атмосферных осадков (дождь, снег).</w:t>
      </w:r>
    </w:p>
    <w:p w14:paraId="7131684C" w14:textId="77777777" w:rsidR="002D1D42" w:rsidRDefault="002D0ECD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4.19. При длительном хранении тележек необходимо соблюдение следующих правил хранения: хранение в закрытом помещении; температура воздуха внутри помещения должна быть не ниже -10ºС и не выше +40ºС; относительная влажность воздуха внутри помещения не более 50%; не допускается нарушение целостности упаковки тележки.</w:t>
      </w:r>
    </w:p>
    <w:p w14:paraId="0F7B23CC" w14:textId="77777777" w:rsidR="002D1D42" w:rsidRDefault="002D0ECD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 xml:space="preserve">4.20. При передвижении тележки переведите механизм управления в положение </w:t>
      </w:r>
      <w:r>
        <w:rPr>
          <w:rFonts w:eastAsia="Calibri"/>
          <w:sz w:val="22"/>
          <w:szCs w:val="22"/>
          <w:lang w:val="en-US" w:eastAsia="en-US"/>
        </w:rPr>
        <w:t>MIDDLE</w:t>
      </w:r>
      <w:r>
        <w:rPr>
          <w:rFonts w:eastAsia="Calibri"/>
          <w:sz w:val="22"/>
          <w:szCs w:val="22"/>
          <w:lang w:eastAsia="en-US"/>
        </w:rPr>
        <w:t xml:space="preserve"> (Среднее). Это позволит легко передвигать ручку тележки и защитит </w:t>
      </w:r>
      <w:r>
        <w:rPr>
          <w:rFonts w:eastAsia="Calibri"/>
          <w:sz w:val="22"/>
          <w:szCs w:val="22"/>
          <w:lang w:eastAsia="en-US"/>
        </w:rPr>
        <w:t>маслоуплотнительные кольца и поршень. Данные меры помогут продлить срок службы тележки.</w:t>
      </w:r>
    </w:p>
    <w:p w14:paraId="02190A14" w14:textId="77777777" w:rsidR="002D1D42" w:rsidRDefault="002D0ECD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4.21. Не допускайте перегрузку.</w:t>
      </w:r>
    </w:p>
    <w:p w14:paraId="15A440E3" w14:textId="77777777" w:rsidR="002D1D42" w:rsidRDefault="002D1D42">
      <w:pPr>
        <w:pStyle w:val="a8"/>
        <w:jc w:val="both"/>
        <w:rPr>
          <w:rFonts w:eastAsia="Calibri"/>
          <w:sz w:val="22"/>
          <w:szCs w:val="22"/>
          <w:lang w:eastAsia="en-US"/>
        </w:rPr>
      </w:pPr>
    </w:p>
    <w:p w14:paraId="595A10F8" w14:textId="77777777" w:rsidR="002D1D42" w:rsidRDefault="002D0ECD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>Техническое обслуживание</w:t>
      </w:r>
    </w:p>
    <w:p w14:paraId="6F49D607" w14:textId="77777777" w:rsidR="002D1D42" w:rsidRDefault="002D0ECD">
      <w:pPr>
        <w:pStyle w:val="a8"/>
        <w:jc w:val="both"/>
      </w:pPr>
      <w:r>
        <w:rPr>
          <w:rFonts w:eastAsia="Calibri"/>
          <w:sz w:val="22"/>
          <w:szCs w:val="22"/>
          <w:lang w:eastAsia="en-US"/>
        </w:rPr>
        <w:t xml:space="preserve">Для ручной гидравлической тележки серии </w:t>
      </w:r>
      <w:r>
        <w:rPr>
          <w:rFonts w:eastAsia="Calibri"/>
          <w:sz w:val="22"/>
          <w:szCs w:val="22"/>
          <w:lang w:val="en-US" w:eastAsia="en-US"/>
        </w:rPr>
        <w:t>JC</w:t>
      </w:r>
      <w:r>
        <w:rPr>
          <w:rFonts w:eastAsia="Calibr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2"/>
          <w:lang w:val="en-US" w:eastAsia="en-US"/>
        </w:rPr>
        <w:t>DF</w:t>
      </w:r>
      <w:r>
        <w:rPr>
          <w:rFonts w:eastAsia="Calibr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2"/>
          <w:lang w:val="en-US" w:eastAsia="en-US"/>
        </w:rPr>
        <w:t>DFL</w:t>
      </w:r>
      <w:r>
        <w:rPr>
          <w:rFonts w:eastAsia="Calibri"/>
          <w:sz w:val="22"/>
          <w:szCs w:val="22"/>
          <w:lang w:eastAsia="en-US"/>
        </w:rPr>
        <w:t>, предназначенной для транспортировки грузов на поддонах, требуется периодичное техническое обслуживание.</w:t>
      </w:r>
    </w:p>
    <w:p w14:paraId="7EA4C5DF" w14:textId="77777777" w:rsidR="002D1D42" w:rsidRDefault="002D0ECD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Масло. </w:t>
      </w:r>
      <w:r>
        <w:rPr>
          <w:rFonts w:eastAsia="Calibri"/>
          <w:sz w:val="22"/>
          <w:szCs w:val="22"/>
          <w:lang w:eastAsia="en-US"/>
        </w:rPr>
        <w:t>Проверяйте уровень масла раз в три месяца. Пользователь может использовать противоизносное циклическое гидравлическое масло, либо масло того же типа. Общий объём используемого масла примерно равен 0,41л.</w:t>
      </w:r>
    </w:p>
    <w:p w14:paraId="1247FB9E" w14:textId="77777777" w:rsidR="002D1D42" w:rsidRDefault="002D0ECD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Выкачивание воздуха.</w:t>
      </w:r>
      <w:r>
        <w:rPr>
          <w:rFonts w:eastAsia="Calibri"/>
          <w:sz w:val="22"/>
          <w:szCs w:val="22"/>
          <w:lang w:eastAsia="en-US"/>
        </w:rPr>
        <w:t xml:space="preserve"> Вследствие транспортировки или переворачивания корпуса насоса, в гидравлическое масло может попасть воздух. Это приведет к тому, что тележка не будет подниматься, даже когда механизм управления будет в положении </w:t>
      </w:r>
      <w:r>
        <w:rPr>
          <w:rFonts w:eastAsia="Calibri"/>
          <w:sz w:val="22"/>
          <w:szCs w:val="22"/>
          <w:lang w:val="en-US" w:eastAsia="en-US"/>
        </w:rPr>
        <w:t>RAISE</w:t>
      </w:r>
      <w:r>
        <w:rPr>
          <w:rFonts w:eastAsia="Calibri"/>
          <w:sz w:val="22"/>
          <w:szCs w:val="22"/>
          <w:lang w:eastAsia="en-US"/>
        </w:rPr>
        <w:t xml:space="preserve"> (Подъём). Вы можете откачать воздух из системы следующим образом: передвиньте рычаг в положение </w:t>
      </w:r>
      <w:r>
        <w:rPr>
          <w:rFonts w:eastAsia="Calibri"/>
          <w:sz w:val="22"/>
          <w:szCs w:val="22"/>
          <w:lang w:val="en-US" w:eastAsia="en-US"/>
        </w:rPr>
        <w:t>LOWER</w:t>
      </w:r>
      <w:r>
        <w:rPr>
          <w:rFonts w:eastAsia="Calibri"/>
          <w:sz w:val="22"/>
          <w:szCs w:val="22"/>
          <w:lang w:eastAsia="en-US"/>
        </w:rPr>
        <w:t xml:space="preserve"> (Опускание) на механизме управления. Затем несколько раз отпустите и поднимите ручку. </w:t>
      </w:r>
    </w:p>
    <w:p w14:paraId="6E8C9CC2" w14:textId="77777777" w:rsidR="002D1D42" w:rsidRDefault="002D0ECD">
      <w:pPr>
        <w:pStyle w:val="a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Ежедневная проверка и обслуживание тележки. </w:t>
      </w:r>
      <w:r>
        <w:rPr>
          <w:rFonts w:eastAsia="Calibri"/>
          <w:sz w:val="22"/>
          <w:szCs w:val="22"/>
          <w:lang w:eastAsia="en-US"/>
        </w:rPr>
        <w:t xml:space="preserve">Ежедневная проверка гидравлической тележки серии </w:t>
      </w:r>
      <w:r>
        <w:rPr>
          <w:rFonts w:eastAsia="Calibri"/>
          <w:sz w:val="22"/>
          <w:szCs w:val="22"/>
          <w:lang w:val="en-US" w:eastAsia="en-US"/>
        </w:rPr>
        <w:t>JC</w:t>
      </w:r>
      <w:r>
        <w:rPr>
          <w:rFonts w:eastAsia="Calibr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2"/>
          <w:lang w:val="en-US" w:eastAsia="en-US"/>
        </w:rPr>
        <w:t>DF</w:t>
      </w:r>
      <w:r>
        <w:rPr>
          <w:rFonts w:eastAsia="Calibr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2"/>
          <w:lang w:val="en-US" w:eastAsia="en-US"/>
        </w:rPr>
        <w:t>DFL</w:t>
      </w:r>
      <w:r>
        <w:rPr>
          <w:rFonts w:eastAsia="Calibri"/>
          <w:sz w:val="22"/>
          <w:szCs w:val="22"/>
          <w:lang w:eastAsia="en-US"/>
        </w:rPr>
        <w:t xml:space="preserve"> может снизить износ настолько, насколько это возможно. Уделяйте особое внимание колёсам и осям: проверяйте, нет ли посторонних предметов (хлопчатобумажные нитки, тряпки и т.п.), попавших в колёса. По окончанию работ с тележкой после транспортировки снимите груз с платформы тележки, удалите посторонние предметы с корпуса тележки, очистите грязь и мусор с масляного насоса. Опустите тележку до минимального положения.</w:t>
      </w:r>
    </w:p>
    <w:p w14:paraId="2366BFCE" w14:textId="77777777" w:rsidR="002D1D42" w:rsidRDefault="002D1D42">
      <w:pPr>
        <w:pStyle w:val="a8"/>
        <w:jc w:val="both"/>
        <w:rPr>
          <w:rFonts w:eastAsia="Calibri"/>
          <w:sz w:val="22"/>
          <w:szCs w:val="22"/>
          <w:lang w:eastAsia="en-US"/>
        </w:rPr>
      </w:pPr>
    </w:p>
    <w:p w14:paraId="37D90918" w14:textId="77777777" w:rsidR="002D1D42" w:rsidRDefault="002D0ECD">
      <w:pPr>
        <w:pStyle w:val="a8"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ab/>
        <w:t>Устранение неисправностей</w:t>
      </w:r>
    </w:p>
    <w:p w14:paraId="1C3EAD98" w14:textId="77777777" w:rsidR="002D1D42" w:rsidRDefault="002D1D42">
      <w:pPr>
        <w:pStyle w:val="a8"/>
        <w:jc w:val="both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W w:w="8163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2776"/>
      </w:tblGrid>
      <w:tr w:rsidR="002D1D42" w14:paraId="1B32CF5F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6BD3" w14:textId="77777777" w:rsidR="002D1D42" w:rsidRDefault="002D0ECD">
            <w:pPr>
              <w:pStyle w:val="a8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Неисправность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3BB1" w14:textId="77777777" w:rsidR="002D1D42" w:rsidRDefault="002D0ECD">
            <w:pPr>
              <w:pStyle w:val="a8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Причина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DE6D" w14:textId="77777777" w:rsidR="002D1D42" w:rsidRDefault="002D0ECD">
            <w:pPr>
              <w:pStyle w:val="a8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Устранение</w:t>
            </w:r>
          </w:p>
        </w:tc>
      </w:tr>
      <w:tr w:rsidR="002D1D42" w14:paraId="15D07A40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25D7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Вилы не поднимаются на максимальную высоту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50AB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Недостаточно гидравлического масла.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865D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Добавить гидравлическое масло</w:t>
            </w:r>
          </w:p>
        </w:tc>
      </w:tr>
      <w:tr w:rsidR="002D1D42" w14:paraId="7BA4CA3C" w14:textId="77777777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EA244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Ручная тележка для транспортировки грузов на поддонах не поднимается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13AC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Нет гидравлического масла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88D3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Добавить гидравлическое масло</w:t>
            </w:r>
          </w:p>
        </w:tc>
      </w:tr>
      <w:tr w:rsidR="002D1D42" w14:paraId="44B1B4BC" w14:textId="7777777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59DA" w14:textId="77777777" w:rsidR="002D1D42" w:rsidRDefault="002D1D42">
            <w:pPr>
              <w:pStyle w:val="a8"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FC5A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Загрязнённое масло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E1C9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Заменить гидравлическое масло</w:t>
            </w:r>
          </w:p>
        </w:tc>
      </w:tr>
      <w:tr w:rsidR="002D1D42" w14:paraId="1BAE6C97" w14:textId="7777777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6C88" w14:textId="77777777" w:rsidR="002D1D42" w:rsidRDefault="002D1D42">
            <w:pPr>
              <w:pStyle w:val="a8"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8E3F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Шестигранная гайка и неметаллическая вставная зажимная гайка находятся слишком высоко, в следствие чего открыт разгрузочный клапан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F602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Отрегулировать шестигранную гайку</w:t>
            </w:r>
          </w:p>
        </w:tc>
      </w:tr>
      <w:tr w:rsidR="002D1D42" w14:paraId="1AB7AA00" w14:textId="7777777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A9BC" w14:textId="77777777" w:rsidR="002D1D42" w:rsidRDefault="002D1D42">
            <w:pPr>
              <w:pStyle w:val="a8"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52B5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Попадает воздух в гидравлическое масло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D98C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Откачать воздух из системы</w:t>
            </w:r>
          </w:p>
        </w:tc>
      </w:tr>
      <w:tr w:rsidR="002D1D42" w14:paraId="47F03C4F" w14:textId="77777777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892F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Ручная тележка для транспортировки грузов на поддонах не опускается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98FB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 xml:space="preserve">Поврежденная поршневая гайка или насос из-за смещения груза или перегруза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A4E9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Заменить шток поршня или корпус насоса</w:t>
            </w:r>
          </w:p>
        </w:tc>
      </w:tr>
      <w:tr w:rsidR="002D1D42" w14:paraId="406A1D31" w14:textId="7777777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8F58" w14:textId="77777777" w:rsidR="002D1D42" w:rsidRDefault="002D1D42">
            <w:pPr>
              <w:pStyle w:val="a8"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0B58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Тележка остается в поднятом положении в течение длительного времени, из-за чего шток поршня находится в открытом состоянии, в следствие шток ржавеет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09C8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Опустить несущее устройство в самое низкое положение</w:t>
            </w:r>
          </w:p>
        </w:tc>
      </w:tr>
      <w:tr w:rsidR="002D1D42" w14:paraId="7585866C" w14:textId="7777777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AAFB" w14:textId="77777777" w:rsidR="002D1D42" w:rsidRDefault="002D1D42">
            <w:pPr>
              <w:pStyle w:val="a8"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3247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Регулировочная гайка находится в неправильном положении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B87E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Настроить регулировочную гайку</w:t>
            </w:r>
          </w:p>
        </w:tc>
      </w:tr>
      <w:tr w:rsidR="002D1D42" w14:paraId="18DEBFB7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D679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Утечка масла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8F8A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Прокладки износились или повреждены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61B9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Заменить на новые прокладки</w:t>
            </w:r>
          </w:p>
        </w:tc>
      </w:tr>
      <w:tr w:rsidR="002D1D42" w14:paraId="1679960E" w14:textId="77777777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8A3A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Гидравлическая тележка опускается сама по себе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9621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Загрязнённость масла вызывает неплотность разгрузочного клапана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5FA2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Заменить гидравлическое масло</w:t>
            </w:r>
          </w:p>
        </w:tc>
      </w:tr>
      <w:tr w:rsidR="002D1D42" w14:paraId="1AC60C32" w14:textId="7777777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6682" w14:textId="77777777" w:rsidR="002D1D42" w:rsidRDefault="002D1D42">
            <w:pPr>
              <w:pStyle w:val="a8"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77BE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Детали в гидравлической системе повреждены или сломаны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B128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Проверить и заменить повреждённые детали</w:t>
            </w:r>
          </w:p>
        </w:tc>
      </w:tr>
      <w:tr w:rsidR="002D1D42" w14:paraId="45675E46" w14:textId="7777777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AAA3" w14:textId="77777777" w:rsidR="002D1D42" w:rsidRDefault="002D1D42">
            <w:pPr>
              <w:pStyle w:val="a8"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0C34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Воздух в масле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EA54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Откачать воздух из системы</w:t>
            </w:r>
          </w:p>
        </w:tc>
      </w:tr>
      <w:tr w:rsidR="002D1D42" w14:paraId="7949D119" w14:textId="7777777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8164" w14:textId="77777777" w:rsidR="002D1D42" w:rsidRDefault="002D1D42">
            <w:pPr>
              <w:pStyle w:val="a8"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AAA0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Прокладки износились или повреждены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990A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Заменить на новые прокладки</w:t>
            </w:r>
          </w:p>
        </w:tc>
      </w:tr>
      <w:tr w:rsidR="002D1D42" w14:paraId="7E85B99D" w14:textId="77777777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9C54" w14:textId="77777777" w:rsidR="002D1D42" w:rsidRDefault="002D1D42">
            <w:pPr>
              <w:pStyle w:val="a8"/>
              <w:snapToGrid w:val="0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F9E4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Регулировочная гайка находится в неправильном положении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5C39" w14:textId="77777777" w:rsidR="002D1D42" w:rsidRDefault="002D0ECD">
            <w:pPr>
              <w:pStyle w:val="a8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Настроить регулировочную гайку</w:t>
            </w:r>
          </w:p>
        </w:tc>
      </w:tr>
    </w:tbl>
    <w:p w14:paraId="6B2EC41A" w14:textId="77777777" w:rsidR="002D1D42" w:rsidRDefault="002D1D42">
      <w:pPr>
        <w:pStyle w:val="a8"/>
        <w:jc w:val="both"/>
        <w:rPr>
          <w:rFonts w:eastAsia="Calibri"/>
          <w:sz w:val="22"/>
          <w:szCs w:val="22"/>
          <w:lang w:eastAsia="en-US"/>
        </w:rPr>
      </w:pPr>
    </w:p>
    <w:p w14:paraId="7C261440" w14:textId="77777777" w:rsidR="002D1D42" w:rsidRDefault="002D1D42">
      <w:pPr>
        <w:pStyle w:val="a8"/>
        <w:jc w:val="both"/>
        <w:rPr>
          <w:rFonts w:eastAsia="Calibri"/>
          <w:sz w:val="22"/>
          <w:szCs w:val="22"/>
          <w:lang w:eastAsia="en-US"/>
        </w:rPr>
      </w:pPr>
    </w:p>
    <w:p w14:paraId="5BE3D05D" w14:textId="77777777" w:rsidR="002D1D42" w:rsidRDefault="002D1D42">
      <w:pPr>
        <w:pStyle w:val="a8"/>
        <w:jc w:val="both"/>
        <w:rPr>
          <w:rFonts w:eastAsia="Calibri"/>
          <w:sz w:val="22"/>
          <w:szCs w:val="22"/>
          <w:lang w:eastAsia="en-US"/>
        </w:rPr>
      </w:pPr>
    </w:p>
    <w:p w14:paraId="4DBD5607" w14:textId="77777777" w:rsidR="002D1D42" w:rsidRDefault="002D1D42">
      <w:pPr>
        <w:pStyle w:val="a8"/>
        <w:jc w:val="both"/>
        <w:rPr>
          <w:rFonts w:eastAsia="Calibri"/>
          <w:sz w:val="22"/>
          <w:szCs w:val="22"/>
          <w:lang w:eastAsia="en-US"/>
        </w:rPr>
      </w:pPr>
    </w:p>
    <w:sectPr w:rsidR="002D1D42">
      <w:pgSz w:w="16838" w:h="11906" w:orient="landscape"/>
      <w:pgMar w:top="340" w:right="284" w:bottom="340" w:left="323" w:header="0" w:footer="0" w:gutter="0"/>
      <w:cols w:num="2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42"/>
    <w:rsid w:val="0016075E"/>
    <w:rsid w:val="002D0ECD"/>
    <w:rsid w:val="002D1D42"/>
    <w:rsid w:val="00697FBC"/>
    <w:rsid w:val="00784931"/>
    <w:rsid w:val="00AD5CBF"/>
    <w:rsid w:val="00AD5E2C"/>
    <w:rsid w:val="00BE6552"/>
    <w:rsid w:val="00D94788"/>
    <w:rsid w:val="00E249BD"/>
    <w:rsid w:val="00F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7B8E"/>
  <w15:docId w15:val="{7ED3FFA4-D0DF-4860-AAD3-0627719A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eastAsia="Times New Roman" w:hAnsi="Symbo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z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styleId="a3">
    <w:name w:val="Hyperlink"/>
    <w:rPr>
      <w:color w:val="0000FF"/>
      <w:u w:val="single"/>
    </w:rPr>
  </w:style>
  <w:style w:type="character" w:styleId="a4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eastAsia="DejaVu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eastAsia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styleId="a8">
    <w:name w:val="No Spacing"/>
    <w:qFormat/>
    <w:rPr>
      <w:rFonts w:eastAsia="Times New Roman" w:cs="Times New Roman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avakhrin@a550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 </cp:keywords>
  <dc:description/>
  <cp:lastModifiedBy>Пользователь</cp:lastModifiedBy>
  <cp:revision>50</cp:revision>
  <cp:lastPrinted>2018-05-16T11:01:00Z</cp:lastPrinted>
  <dcterms:created xsi:type="dcterms:W3CDTF">2022-10-07T14:49:00Z</dcterms:created>
  <dcterms:modified xsi:type="dcterms:W3CDTF">2023-03-14T09:17:00Z</dcterms:modified>
  <dc:language>en-US</dc:language>
</cp:coreProperties>
</file>