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E" w:rsidRPr="00FF2795" w:rsidRDefault="0037742E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</w:rPr>
      </w:pPr>
    </w:p>
    <w:p w:rsidR="0037742E" w:rsidRPr="00FF2795" w:rsidRDefault="0037742E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37742E" w:rsidRPr="00DA49FF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DA49FF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37742E" w:rsidRPr="00DA49FF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DA49FF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37742E" w:rsidRPr="00DA49FF" w:rsidRDefault="003055D1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рычажная</w:t>
      </w:r>
      <w:r w:rsidR="00DD468E" w:rsidRPr="00DA49FF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 xml:space="preserve"> GEARSEN GL</w:t>
      </w:r>
    </w:p>
    <w:p w:rsidR="0037742E" w:rsidRPr="00DA49FF" w:rsidRDefault="0037742E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37742E" w:rsidRPr="00DA49FF" w:rsidRDefault="00E73E61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DA49FF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DA49FF">
        <w:rPr>
          <w:rFonts w:ascii="Roboto" w:hAnsi="Roboto"/>
          <w:color w:val="222A35" w:themeColor="text2" w:themeShade="80"/>
          <w:lang w:val="ru-RU"/>
        </w:rPr>
        <w:br w:type="page"/>
      </w:r>
    </w:p>
    <w:p w:rsidR="0037742E" w:rsidRPr="00DA49FF" w:rsidRDefault="00E73E61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DA49FF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37742E" w:rsidRPr="00DA49FF" w:rsidRDefault="0037742E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 xml:space="preserve">Оператор должен прочесть и принять во внимание рекомендации, описанные в данной инструкции, перед началом эксплуатации </w:t>
      </w:r>
      <w:r>
        <w:rPr>
          <w:rFonts w:ascii="Roboto" w:hAnsi="Roboto" w:cs="Times New Roman"/>
          <w:i/>
          <w:color w:val="222A35" w:themeColor="text2" w:themeShade="80"/>
          <w:lang w:val="ru-RU"/>
        </w:rPr>
        <w:t>оборудования</w:t>
      </w: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работой с грузоподъемными механизмами в обязательном порядке проводится инструктаж по технике безопасности должностным лицом, ответственным за работу с грузоподъемными механизмами.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 и знать технические характеристики оборудования.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Оборудование для подъема и перемещения грузов — это механизмы повышенной опасности. Соблюдение правил и мер безопасности поможет Вам избежать порчи материальных ценностей и сохранить здоровье людей.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Не допускайте к работе с грузоподъемным оборудованием неквалифицированный и неподготовленный персонал.</w:t>
      </w:r>
    </w:p>
    <w:p w:rsidR="0037742E" w:rsidRPr="00DA49FF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DA49FF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DA49FF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DA49FF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DA49FF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DA49FF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DA49FF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DA49FF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Default="00FF2795" w:rsidP="00DA49FF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Default="004737F0" w:rsidP="00DA49FF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DA49FF" w:rsidRDefault="004737F0" w:rsidP="00DA49FF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  <w:bookmarkStart w:id="0" w:name="_GoBack"/>
      <w:bookmarkEnd w:id="0"/>
    </w:p>
    <w:p w:rsidR="00DD13CF" w:rsidRPr="00DA49FF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DA49FF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4E5EF3" w:rsidRPr="00DA49FF" w:rsidRDefault="00DA49FF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Лебедки ручные рычажные используются для подъема и перемещения грузов при строительных, монтажных и ремонтных работах, при эксплуатации и ремонте транспортных средств, для ремонта и обслуживания автомобилей, вытягивания на берег лодок, катеров, а также выполнения других работ, где необходимо создание тяговых усилий. В конструкции лебедки предусмотрено крепление к горизонтальной, вертикальной и наклонной поверхностям</w:t>
      </w:r>
      <w:r w:rsidR="004E5EF3" w:rsidRPr="00DA49FF">
        <w:rPr>
          <w:rFonts w:ascii="Roboto" w:hAnsi="Roboto" w:cs="Times New Roman"/>
          <w:color w:val="222A35" w:themeColor="text2" w:themeShade="80"/>
        </w:rPr>
        <w:t>.</w:t>
      </w:r>
    </w:p>
    <w:p w:rsidR="00306A3B" w:rsidRPr="00DA49FF" w:rsidRDefault="00306A3B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06A3B" w:rsidRPr="00DA49FF" w:rsidRDefault="00306A3B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7742E" w:rsidRPr="00DA49FF" w:rsidRDefault="00306A3B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УСТРОЙСТВО И ПРИНЦИП РАБОТЫ</w:t>
      </w: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DA49FF">
        <w:rPr>
          <w:rFonts w:ascii="Roboto" w:hAnsi="Roboto" w:cs="Times New Roman"/>
          <w:b/>
          <w:color w:val="222A35" w:themeColor="text2" w:themeShade="80"/>
        </w:rPr>
        <w:t>Подготовка к работе: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Распакуйте лебедку и внимательно проверьте все части: крюк, трос, стопорные механизмы.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Определите вес передвигаемого или поднимаемого груза. Перед выполнением работ убедитесь, что груз не превышает установленной максимальной нагрузки.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Найдите место крепления лебедки. Местом крепления могут быть неподвижные предметы: дерево, автомобиль, опорная балка и т. д. Закрепите и проверьте прочность закрепления крюка.</w:t>
      </w: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DA49FF">
        <w:rPr>
          <w:rFonts w:ascii="Roboto" w:hAnsi="Roboto" w:cs="Times New Roman"/>
          <w:b/>
          <w:color w:val="222A35" w:themeColor="text2" w:themeShade="80"/>
        </w:rPr>
        <w:t>Порядок работы: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Каждый раз перед началом работы следует проверить надежность соединения лебедки (болты крепления), основание крепления, работу стопорного механизма и подвесной блок.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Убедитесь в том, что вес груза не превышает грузоподъемности лебедки.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Проверьте соединение крюка с грузом и страховочную собачку крюка.</w:t>
      </w: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DA49FF">
        <w:rPr>
          <w:rFonts w:ascii="Roboto" w:hAnsi="Roboto" w:cs="Times New Roman"/>
          <w:b/>
          <w:color w:val="222A35" w:themeColor="text2" w:themeShade="80"/>
        </w:rPr>
        <w:t>Подъем груза: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Закрепите крюк на грузе и перемещением рукоятки справа налево (относительно лебедки), аккуратно приподнимите груз. Остановитесь. Под действием груза стопорный механизм зафиксирует груз.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Проверьте соединение и основание крепления лебедки.</w:t>
      </w:r>
    </w:p>
    <w:p w:rsidR="00DD13C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-Убедившись, что все надежно закреплено и стопорный механизм работает, продолжайте поднимать груз.</w:t>
      </w:r>
    </w:p>
    <w:p w:rsidR="0037742E" w:rsidRPr="00DA49FF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МЕРЫ БЕЗОПАСНОСТИ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превышать номинальную грузоподъемность.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использовать лебедку для поднятия людей.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моторизировать лебедку, лебедка предназначена исключительно для ручного использования.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обматывать груз канатом. Используйте дополнительную стропу.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использовать лебедку не по назначению.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проводить осмотр и ремонт механизма при поднятом грузе.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Перед эксплуатацией осмотрите канат, крюк, корпус лебедки. В случае выявления дефектов или неисправностей механизма, деформации корпуса, рукояти или крюка и распускания каната использование лебедки запрещается.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Немедленно прекратите использование лебедки в случае поломки механизма лебедки, запутывания/распускания каната, превышения грузоподъемности, появления посторонних звуков при работе механизма.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выравнивание груза на весу.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Запрещено производить подъем и спуск груза, если под ним находятся люди.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После окончания работы или в перерыве груз не должен оставаться в поднятом состоянии.</w:t>
      </w:r>
    </w:p>
    <w:p w:rsidR="004128FC" w:rsidRPr="00DA49FF" w:rsidRDefault="004128FC" w:rsidP="00DA49FF">
      <w:pPr>
        <w:pStyle w:val="11"/>
        <w:spacing w:line="360" w:lineRule="auto"/>
        <w:ind w:left="0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DA49FF" w:rsidRDefault="0037742E">
      <w:pPr>
        <w:pStyle w:val="11"/>
        <w:spacing w:line="220" w:lineRule="exact"/>
        <w:ind w:left="426" w:firstLine="425"/>
        <w:rPr>
          <w:rFonts w:ascii="Roboto" w:hAnsi="Roboto" w:cs="Times New Roman"/>
          <w:color w:val="222A35" w:themeColor="text2" w:themeShade="80"/>
        </w:rPr>
      </w:pPr>
    </w:p>
    <w:p w:rsidR="0037742E" w:rsidRPr="00DA49FF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tbl>
      <w:tblPr>
        <w:tblStyle w:val="af0"/>
        <w:tblW w:w="10627" w:type="dxa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331"/>
        <w:gridCol w:w="1418"/>
        <w:gridCol w:w="1276"/>
        <w:gridCol w:w="1275"/>
        <w:gridCol w:w="1701"/>
        <w:gridCol w:w="1560"/>
      </w:tblGrid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</w:rPr>
            </w:pPr>
            <w:r w:rsidRPr="00DA49FF">
              <w:rPr>
                <w:rFonts w:ascii="Roboto" w:hAnsi="Roboto" w:cs="Times New Roman"/>
                <w:b/>
              </w:rPr>
              <w:t>Модель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</w:rPr>
            </w:pPr>
            <w:r w:rsidRPr="00DA49FF">
              <w:rPr>
                <w:rFonts w:ascii="Roboto" w:hAnsi="Roboto" w:cs="Times New Roman"/>
                <w:b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lang w:val="ru-RU"/>
              </w:rPr>
            </w:pPr>
            <w:r w:rsidRPr="00DA49FF">
              <w:rPr>
                <w:rFonts w:ascii="Roboto" w:hAnsi="Roboto" w:cs="Times New Roman"/>
                <w:b/>
                <w:lang w:val="ru-RU"/>
              </w:rPr>
              <w:t>Рабочая нагрузка, кг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lang w:val="ru-RU"/>
              </w:rPr>
            </w:pPr>
            <w:r w:rsidRPr="00DA49FF">
              <w:rPr>
                <w:rFonts w:ascii="Roboto" w:hAnsi="Roboto" w:cs="Times New Roman"/>
                <w:b/>
                <w:lang w:val="ru-RU"/>
              </w:rPr>
              <w:t>Длина троса, м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b/>
                <w:color w:val="000000" w:themeColor="text1"/>
              </w:rPr>
              <w:t>D</w:t>
            </w:r>
            <w:r w:rsidRPr="00DA49FF">
              <w:rPr>
                <w:rFonts w:ascii="Roboto" w:hAnsi="Roboto" w:cs="Times New Roman"/>
                <w:b/>
                <w:color w:val="000000" w:themeColor="text1"/>
                <w:lang w:val="ru-RU"/>
              </w:rPr>
              <w:t xml:space="preserve"> троса, мм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lang w:val="ru-RU"/>
              </w:rPr>
            </w:pPr>
            <w:r w:rsidRPr="00DA49FF">
              <w:rPr>
                <w:rFonts w:ascii="Roboto" w:hAnsi="Roboto" w:cs="Times New Roman"/>
                <w:b/>
                <w:lang w:val="ru-RU"/>
              </w:rPr>
              <w:t>Размер крюка, мм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b/>
                <w:color w:val="000000" w:themeColor="text1"/>
                <w:lang w:val="ru-RU"/>
              </w:rPr>
              <w:t>Вес брутто, кг</w:t>
            </w:r>
          </w:p>
        </w:tc>
      </w:tr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</w:rPr>
              <w:t>GL</w:t>
            </w:r>
            <w:r w:rsidRPr="00DA49FF">
              <w:rPr>
                <w:rFonts w:ascii="Roboto" w:hAnsi="Roboto" w:cs="Times New Roman"/>
                <w:lang w:val="ru-RU"/>
              </w:rPr>
              <w:t xml:space="preserve"> 1Т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2 крюка, двойной храповый механизм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1,8/3.0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color w:val="000000" w:themeColor="text1"/>
                <w:lang w:val="ru-RU"/>
              </w:rPr>
              <w:t>4.0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85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color w:val="000000" w:themeColor="text1"/>
                <w:lang w:val="ru-RU"/>
              </w:rPr>
              <w:t>2,5</w:t>
            </w:r>
          </w:p>
        </w:tc>
      </w:tr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GL 2Т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3 крюка, двойной храповый механизм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1,8/3.0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4.0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112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2,9</w:t>
            </w:r>
          </w:p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</w:p>
        </w:tc>
      </w:tr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GL 4Т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3 крюка, двойной храповый механизм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4000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1,8/3.0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5.0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112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5,5</w:t>
            </w:r>
          </w:p>
        </w:tc>
      </w:tr>
    </w:tbl>
    <w:p w:rsidR="00AC4808" w:rsidRPr="00DA49FF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DA49FF" w:rsidRDefault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73E61" w:rsidRPr="00DA49FF" w:rsidRDefault="00E73E61" w:rsidP="00E73E61">
      <w:pPr>
        <w:pStyle w:val="11"/>
        <w:numPr>
          <w:ilvl w:val="0"/>
          <w:numId w:val="2"/>
        </w:numPr>
        <w:spacing w:line="360" w:lineRule="auto"/>
        <w:ind w:left="426" w:hanging="6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СХЕМА</w:t>
      </w:r>
    </w:p>
    <w:p w:rsidR="00AC4808" w:rsidRPr="00DA49FF" w:rsidRDefault="00DA49FF" w:rsidP="00AC4808">
      <w:pPr>
        <w:pStyle w:val="11"/>
        <w:spacing w:line="360" w:lineRule="auto"/>
        <w:ind w:left="426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0393ABB0" wp14:editId="532E2C7F">
            <wp:extent cx="4438015" cy="346646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426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9"/>
        <w:gridCol w:w="4626"/>
        <w:gridCol w:w="469"/>
        <w:gridCol w:w="4636"/>
      </w:tblGrid>
      <w:tr w:rsidR="00DA49FF" w:rsidRPr="00DA49FF" w:rsidTr="00306A3B">
        <w:trPr>
          <w:trHeight w:val="351"/>
        </w:trPr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Шплинты переходника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10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Верхний крюк</w:t>
            </w:r>
          </w:p>
        </w:tc>
      </w:tr>
      <w:tr w:rsidR="00DA49FF" w:rsidRPr="00DA49FF" w:rsidTr="00306A3B">
        <w:trPr>
          <w:trHeight w:val="317"/>
        </w:trPr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2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Держатель переходника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11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Переходник</w:t>
            </w:r>
          </w:p>
        </w:tc>
      </w:tr>
      <w:tr w:rsidR="00DA49FF" w:rsidRPr="00DA49FF" w:rsidTr="00306A3B">
        <w:trPr>
          <w:trHeight w:val="269"/>
        </w:trPr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3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Металический каркас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12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Болт каркаса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4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Гайка каркаса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13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Втулка каркаса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5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Металлический кожух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14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Упор для распускания троса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6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Шплинт металлического каркаса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15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Катушка для троса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7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Трос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16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Упор для наматывания троса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8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Полиспаст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17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Рычаг лебедки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9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Шплинт полиспаста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 w:line="240" w:lineRule="auto"/>
              <w:jc w:val="left"/>
              <w:rPr>
                <w:rFonts w:ascii="Roboto" w:hAnsi="Roboto"/>
                <w:lang w:val="ru-RU"/>
              </w:rPr>
            </w:pPr>
          </w:p>
        </w:tc>
      </w:tr>
    </w:tbl>
    <w:p w:rsidR="00AC4808" w:rsidRPr="00DA49FF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  <w:lang w:val="en-US"/>
        </w:rPr>
      </w:pPr>
    </w:p>
    <w:p w:rsidR="0037742E" w:rsidRPr="00DA49FF" w:rsidRDefault="0037742E">
      <w:pPr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37742E" w:rsidRPr="00DA49FF" w:rsidRDefault="00E73E61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ТЕХНИЧЕСКОЕ ОБСЛУЖИВАНИЕ</w:t>
      </w:r>
    </w:p>
    <w:p w:rsidR="00DA49FF" w:rsidRPr="00DA49FF" w:rsidRDefault="00DA49FF" w:rsidP="00DA49FF">
      <w:pPr>
        <w:pStyle w:val="11"/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Прежде чем начинать работать, убедитесь, что лебедка в исправном состоянии.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Все подвижные части должны быть хорошо смазаны.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Обязательно удаляйте загрязнения с лебедки после завершения работы.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Держите лебедку в сухом месте, для предотвращения образования ржавчины и коррозии.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Не допускайте перегиба троса. При износе или обрыве одной из прядей, замените трос.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Не используйте трос меньшего диаметра.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Все ремонтные работы должны выполняться квалифицированными специалистами. После выполнения ремонта и сборки лебедки, а также замены каната лебедка должна быть подвергнута испытанию весом, превышающим грузоподъемность лебедки на 25%.</w:t>
      </w:r>
    </w:p>
    <w:p w:rsidR="00DA49FF" w:rsidRPr="00DA49FF" w:rsidRDefault="00DA49FF" w:rsidP="00DA49FF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4737F0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37742E" w:rsidRPr="00DA49FF" w:rsidRDefault="00E73E61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ГАРАНТИЯ </w:t>
      </w:r>
    </w:p>
    <w:p w:rsidR="0037742E" w:rsidRPr="00DA49FF" w:rsidRDefault="00E73E61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DA49FF">
        <w:rPr>
          <w:rFonts w:ascii="Roboto" w:hAnsi="Roboto" w:cs="Times New Roman"/>
          <w:color w:val="222A35" w:themeColor="text2" w:themeShade="80"/>
          <w:lang w:val="ru-RU"/>
        </w:rPr>
        <w:t>Продавец берёт на себя следующие гарантийные обязательства: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37742E" w:rsidRPr="00DA49FF" w:rsidRDefault="00E73E61" w:rsidP="00B47B22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37742E" w:rsidRPr="00DA49FF" w:rsidRDefault="00E73E61" w:rsidP="00B47B22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/>
        </w:rPr>
      </w:pPr>
      <w:r w:rsidRPr="00DA49FF">
        <w:rPr>
          <w:rFonts w:ascii="Roboto" w:hAnsi="Roboto" w:cs="Times New Roman"/>
          <w:color w:val="222A35" w:themeColor="text2" w:themeShade="80"/>
        </w:rPr>
        <w:t>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</w:t>
      </w:r>
      <w:r w:rsidRPr="00DA49FF">
        <w:rPr>
          <w:rFonts w:ascii="Roboto" w:eastAsia="SimSun" w:hAnsi="Roboto" w:cs="Times New Roman"/>
          <w:color w:val="222A35" w:themeColor="text2" w:themeShade="80"/>
        </w:rPr>
        <w:t xml:space="preserve"> дату покупки</w:t>
      </w:r>
    </w:p>
    <w:tbl>
      <w:tblPr>
        <w:tblStyle w:val="af0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37742E" w:rsidRPr="00DA49FF" w:rsidTr="00B47B22">
        <w:trPr>
          <w:trHeight w:val="1946"/>
        </w:trPr>
        <w:tc>
          <w:tcPr>
            <w:tcW w:w="10091" w:type="dxa"/>
          </w:tcPr>
          <w:p w:rsidR="0037742E" w:rsidRPr="00DA49FF" w:rsidRDefault="00E73E61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DA49FF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A49FF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37742E" w:rsidRPr="00DA49FF" w:rsidRDefault="0037742E">
            <w:pPr>
              <w:spacing w:after="0" w:line="240" w:lineRule="auto"/>
              <w:rPr>
                <w:rFonts w:ascii="Roboto" w:hAnsi="Roboto"/>
                <w:color w:val="222A35" w:themeColor="text2" w:themeShade="80"/>
                <w:sz w:val="20"/>
                <w:szCs w:val="28"/>
              </w:rPr>
            </w:pPr>
          </w:p>
        </w:tc>
      </w:tr>
      <w:tr w:rsidR="0037742E" w:rsidRPr="00DA49FF" w:rsidTr="00B47B22">
        <w:trPr>
          <w:trHeight w:val="2258"/>
        </w:trPr>
        <w:tc>
          <w:tcPr>
            <w:tcW w:w="10091" w:type="dxa"/>
          </w:tcPr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37742E" w:rsidRPr="00DA49FF" w:rsidRDefault="00E73E61" w:rsidP="00B47B22">
            <w:pPr>
              <w:spacing w:line="160" w:lineRule="exact"/>
              <w:rPr>
                <w:rFonts w:ascii="Roboto" w:hAnsi="Roboto"/>
                <w:b/>
                <w:bCs/>
                <w:i/>
                <w:color w:val="000000" w:themeColor="text1"/>
                <w:sz w:val="16"/>
                <w:szCs w:val="16"/>
                <w:lang w:val="ru-RU"/>
              </w:rPr>
            </w:pPr>
            <w:r w:rsidRPr="00DA49FF">
              <w:rPr>
                <w:rFonts w:ascii="Roboto" w:hAnsi="Roboto"/>
                <w:b/>
                <w:bCs/>
                <w:i/>
                <w:color w:val="000000" w:themeColor="text1"/>
                <w:sz w:val="16"/>
                <w:szCs w:val="16"/>
                <w:lang w:val="ru-RU"/>
              </w:rPr>
              <w:t>ВНИМАНИЕ!</w:t>
            </w:r>
          </w:p>
          <w:p w:rsidR="0037742E" w:rsidRPr="00DA49FF" w:rsidRDefault="00E73E61" w:rsidP="00B47B22">
            <w:pPr>
              <w:spacing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DA49FF">
              <w:rPr>
                <w:rFonts w:ascii="Roboto" w:hAnsi="Roboto"/>
                <w:bCs/>
                <w:i/>
                <w:color w:val="000000" w:themeColor="text1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064AB1" w:rsidRPr="00DA49FF" w:rsidRDefault="00064AB1">
      <w:pPr>
        <w:rPr>
          <w:rFonts w:ascii="Roboto" w:hAnsi="Roboto"/>
        </w:rPr>
      </w:pPr>
      <w:r w:rsidRPr="00DA49FF">
        <w:rPr>
          <w:rFonts w:ascii="Roboto" w:hAnsi="Roboto"/>
        </w:rPr>
        <w:br w:type="page"/>
      </w:r>
    </w:p>
    <w:p w:rsidR="0037742E" w:rsidRPr="00DA49FF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ДАННЫЕ ОБ ОТВЕТСТВЕННЫХ ЗА СОДЕРЖАНИЕ ТАЛИ </w:t>
      </w:r>
    </w:p>
    <w:p w:rsidR="0037742E" w:rsidRPr="00DA49FF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DA49FF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369"/>
        <w:gridCol w:w="2664"/>
      </w:tblGrid>
      <w:tr w:rsidR="0037742E" w:rsidRPr="00DA49FF" w:rsidTr="00306A3B">
        <w:trPr>
          <w:trHeight w:val="683"/>
        </w:trPr>
        <w:tc>
          <w:tcPr>
            <w:tcW w:w="2544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369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664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37742E" w:rsidRPr="00DA49FF" w:rsidTr="00306A3B">
        <w:trPr>
          <w:trHeight w:val="4503"/>
        </w:trPr>
        <w:tc>
          <w:tcPr>
            <w:tcW w:w="2544" w:type="dxa"/>
            <w:vAlign w:val="center"/>
          </w:tcPr>
          <w:p w:rsidR="0037742E" w:rsidRPr="00DA49FF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69" w:type="dxa"/>
            <w:vAlign w:val="center"/>
          </w:tcPr>
          <w:p w:rsidR="0037742E" w:rsidRPr="00DA49FF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64" w:type="dxa"/>
            <w:vAlign w:val="center"/>
          </w:tcPr>
          <w:p w:rsidR="0037742E" w:rsidRPr="00DA49FF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Pr="00DA49FF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DA49FF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 xml:space="preserve"> СВЕДЕНИЯ О РЕМОНТЕ ТАЛИ</w:t>
      </w:r>
    </w:p>
    <w:p w:rsidR="0037742E" w:rsidRPr="00DA49FF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DA49FF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37742E" w:rsidRPr="004737F0">
        <w:trPr>
          <w:trHeight w:val="1074"/>
        </w:trPr>
        <w:tc>
          <w:tcPr>
            <w:tcW w:w="2538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37742E" w:rsidRPr="00FF2795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37742E" w:rsidRPr="004737F0" w:rsidTr="00AC4808">
        <w:trPr>
          <w:trHeight w:val="6585"/>
        </w:trPr>
        <w:tc>
          <w:tcPr>
            <w:tcW w:w="2538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3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Pr="00FF2795" w:rsidRDefault="0037742E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37742E" w:rsidRPr="00FF2795">
      <w:footerReference w:type="default" r:id="rId11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1A" w:rsidRDefault="000B231A">
      <w:pPr>
        <w:spacing w:after="0" w:line="240" w:lineRule="auto"/>
      </w:pPr>
      <w:r>
        <w:separator/>
      </w:r>
    </w:p>
  </w:endnote>
  <w:endnote w:type="continuationSeparator" w:id="0">
    <w:p w:rsidR="000B231A" w:rsidRDefault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MS Gothic"/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E73E61" w:rsidRDefault="00E73E61">
        <w:pPr>
          <w:pStyle w:val="ab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3E61" w:rsidRDefault="00E73E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737F0" w:rsidRPr="004737F0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E73E61" w:rsidRDefault="00E73E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737F0" w:rsidRPr="004737F0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1A" w:rsidRDefault="000B231A">
      <w:pPr>
        <w:spacing w:after="0" w:line="240" w:lineRule="auto"/>
      </w:pPr>
      <w:r>
        <w:separator/>
      </w:r>
    </w:p>
  </w:footnote>
  <w:footnote w:type="continuationSeparator" w:id="0">
    <w:p w:rsidR="000B231A" w:rsidRDefault="000B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027"/>
    <w:multiLevelType w:val="multilevel"/>
    <w:tmpl w:val="1872002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C435FA"/>
    <w:multiLevelType w:val="multilevel"/>
    <w:tmpl w:val="E4540D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0D5461C"/>
    <w:multiLevelType w:val="multilevel"/>
    <w:tmpl w:val="B220F4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8195F1D"/>
    <w:multiLevelType w:val="multilevel"/>
    <w:tmpl w:val="3306CFC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5EEF"/>
    <w:multiLevelType w:val="multilevel"/>
    <w:tmpl w:val="75CEF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57FB0E07"/>
    <w:multiLevelType w:val="multilevel"/>
    <w:tmpl w:val="BEE84D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6CDC7E07"/>
    <w:multiLevelType w:val="multilevel"/>
    <w:tmpl w:val="6CDC7E0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93240B"/>
    <w:multiLevelType w:val="multilevel"/>
    <w:tmpl w:val="7793240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9FBC372F"/>
    <w:rsid w:val="9FF5C237"/>
    <w:rsid w:val="BA73F9E6"/>
    <w:rsid w:val="DD36C364"/>
    <w:rsid w:val="DFD3C0B9"/>
    <w:rsid w:val="DFEF15AB"/>
    <w:rsid w:val="EE73379D"/>
    <w:rsid w:val="EFF78948"/>
    <w:rsid w:val="FBA3B9B6"/>
    <w:rsid w:val="FBBD949A"/>
    <w:rsid w:val="FDFDF76E"/>
    <w:rsid w:val="00064AB1"/>
    <w:rsid w:val="0007564A"/>
    <w:rsid w:val="000912E4"/>
    <w:rsid w:val="0009683B"/>
    <w:rsid w:val="000A1EAC"/>
    <w:rsid w:val="000B231A"/>
    <w:rsid w:val="00110ACB"/>
    <w:rsid w:val="00137C8E"/>
    <w:rsid w:val="00163B31"/>
    <w:rsid w:val="00185ACC"/>
    <w:rsid w:val="001B49B4"/>
    <w:rsid w:val="001F437E"/>
    <w:rsid w:val="001F655E"/>
    <w:rsid w:val="00207402"/>
    <w:rsid w:val="00227292"/>
    <w:rsid w:val="00271CF5"/>
    <w:rsid w:val="002908AC"/>
    <w:rsid w:val="00293385"/>
    <w:rsid w:val="002C4CF2"/>
    <w:rsid w:val="002C59F2"/>
    <w:rsid w:val="002C7355"/>
    <w:rsid w:val="002C7B49"/>
    <w:rsid w:val="002D3DA7"/>
    <w:rsid w:val="003055D1"/>
    <w:rsid w:val="00306A3B"/>
    <w:rsid w:val="00340F51"/>
    <w:rsid w:val="00374371"/>
    <w:rsid w:val="003745AB"/>
    <w:rsid w:val="0037742E"/>
    <w:rsid w:val="00384D9D"/>
    <w:rsid w:val="003B0F5D"/>
    <w:rsid w:val="003B514D"/>
    <w:rsid w:val="003B7005"/>
    <w:rsid w:val="003E6012"/>
    <w:rsid w:val="003F5611"/>
    <w:rsid w:val="00411D11"/>
    <w:rsid w:val="004128FC"/>
    <w:rsid w:val="00440BBF"/>
    <w:rsid w:val="00466788"/>
    <w:rsid w:val="004737F0"/>
    <w:rsid w:val="00482FCC"/>
    <w:rsid w:val="004A1E6F"/>
    <w:rsid w:val="004A4879"/>
    <w:rsid w:val="004B2AD4"/>
    <w:rsid w:val="004E5EF3"/>
    <w:rsid w:val="004F35DF"/>
    <w:rsid w:val="00506DCB"/>
    <w:rsid w:val="00521B80"/>
    <w:rsid w:val="00540CB6"/>
    <w:rsid w:val="00570749"/>
    <w:rsid w:val="00584959"/>
    <w:rsid w:val="00592723"/>
    <w:rsid w:val="005966F9"/>
    <w:rsid w:val="005B7F73"/>
    <w:rsid w:val="005D34C7"/>
    <w:rsid w:val="005D5A12"/>
    <w:rsid w:val="005E3331"/>
    <w:rsid w:val="005E3F3F"/>
    <w:rsid w:val="005F168E"/>
    <w:rsid w:val="006E01B8"/>
    <w:rsid w:val="006F6068"/>
    <w:rsid w:val="007054D0"/>
    <w:rsid w:val="00736814"/>
    <w:rsid w:val="007434FF"/>
    <w:rsid w:val="007710C6"/>
    <w:rsid w:val="00792D01"/>
    <w:rsid w:val="007A439A"/>
    <w:rsid w:val="007E2925"/>
    <w:rsid w:val="0080102C"/>
    <w:rsid w:val="00823273"/>
    <w:rsid w:val="008812D3"/>
    <w:rsid w:val="00884867"/>
    <w:rsid w:val="00885B83"/>
    <w:rsid w:val="008A72C8"/>
    <w:rsid w:val="008B040B"/>
    <w:rsid w:val="008D0E79"/>
    <w:rsid w:val="008E1EFF"/>
    <w:rsid w:val="008E38E8"/>
    <w:rsid w:val="0092080E"/>
    <w:rsid w:val="009237E0"/>
    <w:rsid w:val="00933226"/>
    <w:rsid w:val="00935BEC"/>
    <w:rsid w:val="00952929"/>
    <w:rsid w:val="009E377D"/>
    <w:rsid w:val="009E4144"/>
    <w:rsid w:val="009F49E5"/>
    <w:rsid w:val="009F5DA1"/>
    <w:rsid w:val="00A6190D"/>
    <w:rsid w:val="00A6326E"/>
    <w:rsid w:val="00A77BBA"/>
    <w:rsid w:val="00A830A3"/>
    <w:rsid w:val="00A92CB1"/>
    <w:rsid w:val="00AC1F4C"/>
    <w:rsid w:val="00AC33CE"/>
    <w:rsid w:val="00AC4808"/>
    <w:rsid w:val="00AD598E"/>
    <w:rsid w:val="00B13448"/>
    <w:rsid w:val="00B47B22"/>
    <w:rsid w:val="00B63FFB"/>
    <w:rsid w:val="00BC2470"/>
    <w:rsid w:val="00BC5EB5"/>
    <w:rsid w:val="00BF58CE"/>
    <w:rsid w:val="00C01D62"/>
    <w:rsid w:val="00C06F16"/>
    <w:rsid w:val="00C874E1"/>
    <w:rsid w:val="00C92FF8"/>
    <w:rsid w:val="00C93AC6"/>
    <w:rsid w:val="00CC295E"/>
    <w:rsid w:val="00CD33E2"/>
    <w:rsid w:val="00CE3E5F"/>
    <w:rsid w:val="00CF0D61"/>
    <w:rsid w:val="00D17718"/>
    <w:rsid w:val="00D2537D"/>
    <w:rsid w:val="00D307BF"/>
    <w:rsid w:val="00D63741"/>
    <w:rsid w:val="00DA49FF"/>
    <w:rsid w:val="00DC2B9F"/>
    <w:rsid w:val="00DD13CF"/>
    <w:rsid w:val="00DD468E"/>
    <w:rsid w:val="00E04CE5"/>
    <w:rsid w:val="00E24856"/>
    <w:rsid w:val="00E41B2D"/>
    <w:rsid w:val="00E575B1"/>
    <w:rsid w:val="00E63B4E"/>
    <w:rsid w:val="00E73E61"/>
    <w:rsid w:val="00EA25E4"/>
    <w:rsid w:val="00ED16F9"/>
    <w:rsid w:val="00ED5A30"/>
    <w:rsid w:val="00EF368D"/>
    <w:rsid w:val="00F37814"/>
    <w:rsid w:val="00F76C28"/>
    <w:rsid w:val="00F8602F"/>
    <w:rsid w:val="00FA7133"/>
    <w:rsid w:val="00FB15D2"/>
    <w:rsid w:val="00FB4358"/>
    <w:rsid w:val="00FC4820"/>
    <w:rsid w:val="00FC7BFC"/>
    <w:rsid w:val="00FF2795"/>
    <w:rsid w:val="67E19E11"/>
    <w:rsid w:val="6FBEC15C"/>
    <w:rsid w:val="7BF3B329"/>
    <w:rsid w:val="7E5F1150"/>
    <w:rsid w:val="7EF78BD3"/>
    <w:rsid w:val="7F9AC87B"/>
    <w:rsid w:val="7F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50CE70"/>
  <w15:docId w15:val="{86C0E69F-ED4D-407B-BBE8-1B722E0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kern w:val="0"/>
      <w:sz w:val="20"/>
      <w:szCs w:val="20"/>
      <w:lang w:val="ru-RU" w:eastAsia="en-US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unhideWhenUsed/>
    <w:qFormat/>
    <w:rPr>
      <w:sz w:val="16"/>
      <w:szCs w:val="16"/>
    </w:rPr>
  </w:style>
  <w:style w:type="table" w:styleId="af0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eastAsiaTheme="minorEastAsia"/>
      <w:kern w:val="2"/>
      <w:sz w:val="20"/>
      <w:szCs w:val="20"/>
      <w:lang w:val="en-US" w:eastAsia="zh-CN"/>
    </w:rPr>
  </w:style>
  <w:style w:type="character" w:customStyle="1" w:styleId="aa">
    <w:name w:val="Тема примечания Знак"/>
    <w:basedOn w:val="a8"/>
    <w:link w:val="a9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qFormat/>
    <w:rPr>
      <w:rFonts w:ascii="Arial Narrow" w:eastAsia="Arial Narrow" w:hAnsi="Arial Narrow" w:cs="Arial Narrow"/>
      <w:sz w:val="20"/>
      <w:szCs w:val="20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qFormat/>
    <w:pPr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kern w:val="0"/>
      <w:sz w:val="22"/>
      <w:szCs w:val="22"/>
      <w:lang w:val="ru-RU" w:eastAsia="en-US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  <w:lang w:val="ru-RU" w:eastAsia="en-US"/>
    </w:rPr>
  </w:style>
  <w:style w:type="paragraph" w:customStyle="1" w:styleId="2">
    <w:name w:val="Абзац списка2"/>
    <w:basedOn w:val="a"/>
    <w:uiPriority w:val="99"/>
    <w:unhideWhenUsed/>
    <w:qFormat/>
    <w:pPr>
      <w:ind w:left="720"/>
      <w:contextualSpacing/>
    </w:pPr>
  </w:style>
  <w:style w:type="paragraph" w:styleId="af1">
    <w:name w:val="List Paragraph"/>
    <w:basedOn w:val="a"/>
    <w:uiPriority w:val="34"/>
    <w:qFormat/>
    <w:rsid w:val="0009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Евгений</dc:creator>
  <cp:lastModifiedBy>Возняк Евгений</cp:lastModifiedBy>
  <cp:revision>2</cp:revision>
  <cp:lastPrinted>2020-12-18T11:16:00Z</cp:lastPrinted>
  <dcterms:created xsi:type="dcterms:W3CDTF">2021-07-01T07:49:00Z</dcterms:created>
  <dcterms:modified xsi:type="dcterms:W3CDTF">2021-07-01T07:49:00Z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