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НАЗНАЧЕНИЕ</w:t>
      </w:r>
      <w:r w:rsidRPr="003C3C17">
        <w:rPr>
          <w:rFonts w:ascii="Arial" w:eastAsia="Times New Roman" w:hAnsi="Arial" w:cs="Arial"/>
          <w:color w:val="444444"/>
          <w:sz w:val="24"/>
          <w:szCs w:val="24"/>
          <w:lang w:eastAsia="ru-RU"/>
        </w:rPr>
        <w:br/>
      </w:r>
      <w:r w:rsidRPr="003C3C17">
        <w:rPr>
          <w:rFonts w:ascii="Arial" w:eastAsia="Times New Roman" w:hAnsi="Arial" w:cs="Arial"/>
          <w:color w:val="444444"/>
          <w:sz w:val="24"/>
          <w:szCs w:val="24"/>
          <w:lang w:eastAsia="ru-RU"/>
        </w:rPr>
        <w:br/>
        <w:t xml:space="preserve">Состав предназначен для обезжиривания и очистки поверхности из полимерных материалов, металлов и сплавов от </w:t>
      </w:r>
      <w:proofErr w:type="gramStart"/>
      <w:r w:rsidRPr="003C3C17">
        <w:rPr>
          <w:rFonts w:ascii="Arial" w:eastAsia="Times New Roman" w:hAnsi="Arial" w:cs="Arial"/>
          <w:color w:val="444444"/>
          <w:sz w:val="24"/>
          <w:szCs w:val="24"/>
          <w:lang w:eastAsia="ru-RU"/>
        </w:rPr>
        <w:t>масло-жировых</w:t>
      </w:r>
      <w:proofErr w:type="gramEnd"/>
      <w:r w:rsidRPr="003C3C17">
        <w:rPr>
          <w:rFonts w:ascii="Arial" w:eastAsia="Times New Roman" w:hAnsi="Arial" w:cs="Arial"/>
          <w:color w:val="444444"/>
          <w:sz w:val="24"/>
          <w:szCs w:val="24"/>
          <w:lang w:eastAsia="ru-RU"/>
        </w:rPr>
        <w:t xml:space="preserve"> загрязнений с включениями пыли, волокон, остатков абразивных материалов, порошков металлов и сплавов.</w:t>
      </w:r>
    </w:p>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pict>
          <v:rect id="_x0000_i1025"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Примеры применения</w: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Используется при сборке, техническом обслуживании, ремонте оборудования, механизмов и машин.</w:t>
      </w:r>
    </w:p>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pict>
          <v:rect id="_x0000_i1026"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FF0000"/>
          <w:sz w:val="24"/>
          <w:szCs w:val="24"/>
          <w:lang w:eastAsia="ru-RU"/>
        </w:rPr>
        <w:t>ИМПОРТОЗАМЕЩЕНИЕ: LOCTITE</w:t>
      </w:r>
      <w:r w:rsidRPr="003C3C17">
        <w:rPr>
          <w:rFonts w:ascii="Arial" w:eastAsia="Times New Roman" w:hAnsi="Arial" w:cs="Arial"/>
          <w:color w:val="FF0000"/>
          <w:sz w:val="24"/>
          <w:szCs w:val="24"/>
          <w:vertAlign w:val="superscript"/>
          <w:lang w:eastAsia="ru-RU"/>
        </w:rPr>
        <w:t>®</w:t>
      </w:r>
      <w:r w:rsidRPr="003C3C17">
        <w:rPr>
          <w:rFonts w:ascii="Arial" w:eastAsia="Times New Roman" w:hAnsi="Arial" w:cs="Arial"/>
          <w:color w:val="FF0000"/>
          <w:sz w:val="24"/>
          <w:szCs w:val="24"/>
          <w:lang w:eastAsia="ru-RU"/>
        </w:rPr>
        <w:t> 7063</w:t>
      </w:r>
    </w:p>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pict>
          <v:rect id="_x0000_i1027"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Свойства материала</w:t>
      </w:r>
    </w:p>
    <w:tbl>
      <w:tblPr>
        <w:tblW w:w="0" w:type="auto"/>
        <w:tblCellMar>
          <w:top w:w="15" w:type="dxa"/>
          <w:left w:w="15" w:type="dxa"/>
          <w:bottom w:w="15" w:type="dxa"/>
          <w:right w:w="15" w:type="dxa"/>
        </w:tblCellMar>
        <w:tblLook w:val="04A0" w:firstRow="1" w:lastRow="0" w:firstColumn="1" w:lastColumn="0" w:noHBand="0" w:noVBand="1"/>
      </w:tblPr>
      <w:tblGrid>
        <w:gridCol w:w="5617"/>
        <w:gridCol w:w="210"/>
        <w:gridCol w:w="3528"/>
      </w:tblGrid>
      <w:tr w:rsidR="003C3C17" w:rsidRPr="003C3C17" w:rsidTr="003C3C17">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b/>
                <w:bCs/>
                <w:sz w:val="24"/>
                <w:szCs w:val="24"/>
                <w:lang w:eastAsia="ru-RU"/>
              </w:rPr>
            </w:pPr>
            <w:r w:rsidRPr="003C3C17">
              <w:rPr>
                <w:rFonts w:ascii="Times New Roman" w:eastAsia="Times New Roman" w:hAnsi="Times New Roman" w:cs="Times New Roman"/>
                <w:b/>
                <w:bCs/>
                <w:sz w:val="24"/>
                <w:szCs w:val="24"/>
                <w:lang w:eastAsia="ru-RU"/>
              </w:rPr>
              <w:t>Характеристика</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b/>
                <w:bCs/>
                <w:sz w:val="24"/>
                <w:szCs w:val="24"/>
                <w:lang w:eastAsia="ru-RU"/>
              </w:rPr>
            </w:pPr>
            <w:r w:rsidRPr="003C3C17">
              <w:rPr>
                <w:rFonts w:ascii="Times New Roman" w:eastAsia="Times New Roman" w:hAnsi="Times New Roman" w:cs="Times New Roman"/>
                <w:b/>
                <w:bCs/>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b/>
                <w:bCs/>
                <w:sz w:val="24"/>
                <w:szCs w:val="24"/>
                <w:lang w:eastAsia="ru-RU"/>
              </w:rPr>
            </w:pPr>
            <w:r w:rsidRPr="003C3C17">
              <w:rPr>
                <w:rFonts w:ascii="Times New Roman" w:eastAsia="Times New Roman" w:hAnsi="Times New Roman" w:cs="Times New Roman"/>
                <w:b/>
                <w:bCs/>
                <w:sz w:val="24"/>
                <w:szCs w:val="24"/>
                <w:lang w:eastAsia="ru-RU"/>
              </w:rPr>
              <w:t>Значение</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Химическая основа</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Смесь органических растворителей</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Внешний вид</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Прозрачная слабоокрашенная жидкость</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Температура вспышки</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proofErr w:type="gramStart"/>
            <w:r w:rsidRPr="003C3C17">
              <w:rPr>
                <w:rFonts w:ascii="Times New Roman" w:eastAsia="Times New Roman" w:hAnsi="Times New Roman" w:cs="Times New Roman"/>
                <w:sz w:val="24"/>
                <w:szCs w:val="24"/>
                <w:lang w:eastAsia="ru-RU"/>
              </w:rPr>
              <w:t>выше</w:t>
            </w:r>
            <w:proofErr w:type="gramEnd"/>
            <w:r w:rsidRPr="003C3C17">
              <w:rPr>
                <w:rFonts w:ascii="Times New Roman" w:eastAsia="Times New Roman" w:hAnsi="Times New Roman" w:cs="Times New Roman"/>
                <w:sz w:val="24"/>
                <w:szCs w:val="24"/>
                <w:lang w:eastAsia="ru-RU"/>
              </w:rPr>
              <w:t xml:space="preserve"> -18 °С</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Время высыхания при температуре (20±</w:t>
            </w:r>
            <w:proofErr w:type="gramStart"/>
            <w:r w:rsidRPr="003C3C17">
              <w:rPr>
                <w:rFonts w:ascii="Times New Roman" w:eastAsia="Times New Roman" w:hAnsi="Times New Roman" w:cs="Times New Roman"/>
                <w:sz w:val="24"/>
                <w:szCs w:val="24"/>
                <w:lang w:eastAsia="ru-RU"/>
              </w:rPr>
              <w:t>2)°</w:t>
            </w:r>
            <w:proofErr w:type="gramEnd"/>
            <w:r w:rsidRPr="003C3C17">
              <w:rPr>
                <w:rFonts w:ascii="Times New Roman" w:eastAsia="Times New Roman" w:hAnsi="Times New Roman" w:cs="Times New Roman"/>
                <w:sz w:val="24"/>
                <w:szCs w:val="24"/>
                <w:lang w:eastAsia="ru-RU"/>
              </w:rPr>
              <w:t>С до степени 7, не более</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60 с</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Плотность по ГОСТ 18995.1 (разд. 1)</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700 - 800 кг/м</w:t>
            </w:r>
            <w:r w:rsidRPr="003C3C17">
              <w:rPr>
                <w:rFonts w:ascii="Times New Roman" w:eastAsia="Times New Roman" w:hAnsi="Times New Roman" w:cs="Times New Roman"/>
                <w:sz w:val="24"/>
                <w:szCs w:val="24"/>
                <w:vertAlign w:val="superscript"/>
                <w:lang w:eastAsia="ru-RU"/>
              </w:rPr>
              <w:t>3</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Летучесть по этиловому эфиру по ГОСТ 18188 (разд. 3.4)</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8 - 15</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Кислотное число по ГОСТ 18188 (разд. 3.5), не более</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0,06 мг КОН/г</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Коррозионная активность по ГОСТ 18597, не более</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0,1 г/м</w:t>
            </w:r>
            <w:r w:rsidRPr="003C3C17">
              <w:rPr>
                <w:rFonts w:ascii="Times New Roman" w:eastAsia="Times New Roman" w:hAnsi="Times New Roman" w:cs="Times New Roman"/>
                <w:sz w:val="24"/>
                <w:szCs w:val="24"/>
                <w:vertAlign w:val="superscript"/>
                <w:lang w:eastAsia="ru-RU"/>
              </w:rPr>
              <w:t>2</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Массовая доля ароматических углеводородов, не более</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10 % вес.</w:t>
            </w:r>
          </w:p>
        </w:tc>
      </w:tr>
      <w:tr w:rsidR="003C3C17" w:rsidRPr="003C3C17" w:rsidTr="003C3C17">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Чистящая способность по ОСТ 6-15-1660-90, не менее</w:t>
            </w:r>
          </w:p>
        </w:tc>
        <w:tc>
          <w:tcPr>
            <w:tcW w:w="0" w:type="auto"/>
            <w:vAlign w:val="center"/>
            <w:hideMark/>
          </w:tcPr>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 </w:t>
            </w:r>
          </w:p>
        </w:tc>
        <w:tc>
          <w:tcPr>
            <w:tcW w:w="0" w:type="auto"/>
            <w:vAlign w:val="center"/>
            <w:hideMark/>
          </w:tcPr>
          <w:p w:rsidR="003C3C17" w:rsidRPr="003C3C17" w:rsidRDefault="003C3C17" w:rsidP="003C3C17">
            <w:pPr>
              <w:spacing w:after="0" w:line="240" w:lineRule="auto"/>
              <w:jc w:val="center"/>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t>95 %</w:t>
            </w:r>
          </w:p>
        </w:tc>
      </w:tr>
    </w:tbl>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pict>
          <v:rect id="_x0000_i1028"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Требования безопасности</w:t>
      </w:r>
    </w:p>
    <w:p w:rsidR="003C3C17" w:rsidRPr="003C3C17" w:rsidRDefault="003C3C17" w:rsidP="003C3C1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Пожарная безопасность: легко воспламеняемое вещество (класс 3, подкласс 3.2).</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Класс опасности: 4 класс по ГОСТ 12.1.007-76.</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 xml:space="preserve">Условия труда: </w:t>
      </w:r>
      <w:proofErr w:type="spellStart"/>
      <w:r w:rsidRPr="003C3C17">
        <w:rPr>
          <w:rFonts w:ascii="Arial" w:eastAsia="Times New Roman" w:hAnsi="Arial" w:cs="Arial"/>
          <w:color w:val="444444"/>
          <w:sz w:val="24"/>
          <w:szCs w:val="24"/>
          <w:lang w:eastAsia="ru-RU"/>
        </w:rPr>
        <w:t>общеобменная</w:t>
      </w:r>
      <w:proofErr w:type="spellEnd"/>
      <w:r w:rsidRPr="003C3C17">
        <w:rPr>
          <w:rFonts w:ascii="Arial" w:eastAsia="Times New Roman" w:hAnsi="Arial" w:cs="Arial"/>
          <w:color w:val="444444"/>
          <w:sz w:val="24"/>
          <w:szCs w:val="24"/>
          <w:lang w:eastAsia="ru-RU"/>
        </w:rPr>
        <w:t xml:space="preserve"> приточно-вытяжная вентиляция, спецодежда согласно «Отраслевых норм».</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 xml:space="preserve">Утилизация: СанПиН 2.1.7.1322 и СП </w:t>
      </w:r>
      <w:proofErr w:type="gramStart"/>
      <w:r w:rsidRPr="003C3C17">
        <w:rPr>
          <w:rFonts w:ascii="Arial" w:eastAsia="Times New Roman" w:hAnsi="Arial" w:cs="Arial"/>
          <w:color w:val="444444"/>
          <w:sz w:val="24"/>
          <w:szCs w:val="24"/>
          <w:lang w:eastAsia="ru-RU"/>
        </w:rPr>
        <w:t>2.1.7.1386 .</w:t>
      </w:r>
      <w:proofErr w:type="gramEnd"/>
    </w:p>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lastRenderedPageBreak/>
        <w:pict>
          <v:rect id="_x0000_i1029"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Транспортирование и хранение</w:t>
      </w:r>
    </w:p>
    <w:p w:rsidR="003C3C17" w:rsidRPr="003C3C17" w:rsidRDefault="003C3C17" w:rsidP="003C3C17">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Потребительская упаковка: аэрозольный баллон 400 мл.</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Транспортирование и хранение: ГОСТ 32481 (п. 9).</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Транспортные знаки по ГОСТ 14192 и ГОСТ 19433: «Беречь от влаги», «Герметичная упаковка», «Беречь от солнечных лучей», «Ограничение температуры от -20 ºС до +35 ºС», «Предел по количеству ярусов в штабеле». Знак опасности класс 3. Классификационный шифр 3212. Номер ООН 1950.</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Гарантийный срок хранения 12 месяцев с даты изготовления.</w:t>
      </w:r>
      <w:r w:rsidRPr="003C3C17">
        <w:rPr>
          <w:rFonts w:ascii="Arial" w:eastAsia="Times New Roman" w:hAnsi="Arial" w:cs="Arial"/>
          <w:color w:val="444444"/>
          <w:sz w:val="24"/>
          <w:szCs w:val="24"/>
          <w:lang w:eastAsia="ru-RU"/>
        </w:rPr>
        <w:br/>
        <w:t> </w:t>
      </w:r>
    </w:p>
    <w:p w:rsidR="003C3C17" w:rsidRPr="003C3C17" w:rsidRDefault="003C3C17" w:rsidP="003C3C17">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Условия хранения: сухое складское помещение без доступа солнечного света отдельно от сильных кислот, щелочей и окисляющих веществ при температуре (5 – 40) °С. Упаковка и тара должны быть плотно закрыты и храниться отдельно от пищевых продуктов.</w:t>
      </w:r>
    </w:p>
    <w:p w:rsidR="003C3C17" w:rsidRPr="003C3C17" w:rsidRDefault="003C3C17" w:rsidP="003C3C17">
      <w:pPr>
        <w:spacing w:after="0" w:line="240" w:lineRule="auto"/>
        <w:rPr>
          <w:rFonts w:ascii="Times New Roman" w:eastAsia="Times New Roman" w:hAnsi="Times New Roman" w:cs="Times New Roman"/>
          <w:sz w:val="24"/>
          <w:szCs w:val="24"/>
          <w:lang w:eastAsia="ru-RU"/>
        </w:rPr>
      </w:pPr>
      <w:r w:rsidRPr="003C3C17">
        <w:rPr>
          <w:rFonts w:ascii="Times New Roman" w:eastAsia="Times New Roman" w:hAnsi="Times New Roman" w:cs="Times New Roman"/>
          <w:sz w:val="24"/>
          <w:szCs w:val="24"/>
          <w:lang w:eastAsia="ru-RU"/>
        </w:rPr>
        <w:pict>
          <v:rect id="_x0000_i1030" style="width:0;height:1.5pt" o:hralign="center" o:hrstd="t" o:hrnoshade="t" o:hr="t" fillcolor="#444" stroked="f"/>
        </w:pic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b/>
          <w:bCs/>
          <w:color w:val="444444"/>
          <w:sz w:val="24"/>
          <w:szCs w:val="24"/>
          <w:lang w:eastAsia="ru-RU"/>
        </w:rPr>
        <w:t>Указания по применению</w: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При транспортировке и хранении при минусовой температуре баллон с очистителем перед применением выдержать при комнатной температуре не менее 3 ч.</w: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На включенные электроприборы состав не распылять! Включение электроприборов производить только после полного высыхания очистителя на всей обработанной поверхности.</w:t>
      </w:r>
    </w:p>
    <w:p w:rsidR="003C3C17" w:rsidRPr="003C3C17" w:rsidRDefault="003C3C17" w:rsidP="003C3C17">
      <w:p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3C3C17">
        <w:rPr>
          <w:rFonts w:ascii="Arial" w:eastAsia="Times New Roman" w:hAnsi="Arial" w:cs="Arial"/>
          <w:color w:val="444444"/>
          <w:sz w:val="24"/>
          <w:szCs w:val="24"/>
          <w:lang w:eastAsia="ru-RU"/>
        </w:rPr>
        <w:t>Очиститель наносить на поверхности распылением. Протереть еще влажные поверхности чистой белой ветошью, чтобы убедиться, что загрязнение устранено. Повторно обработать деталь, поставив ее вертикально или так, чтобы очиститель мог свободно стекать на ветошь. Ветошь утилизировать в установленном порядке. Последующие операции выполнять сразу после высыхания очистителя: нанести выбранный анаэробный герметик, жидкую прокладку или другие составы.</w:t>
      </w:r>
    </w:p>
    <w:p w:rsidR="006E29D8" w:rsidRDefault="003C3C17">
      <w:r>
        <w:rPr>
          <w:rFonts w:ascii="Arial" w:hAnsi="Arial" w:cs="Arial"/>
          <w:color w:val="444444"/>
          <w:shd w:val="clear" w:color="auto" w:fill="FFFFFF"/>
        </w:rPr>
        <w:t>ТУ 20.41.44-044-50686066-2018</w:t>
      </w:r>
      <w:bookmarkStart w:id="0" w:name="_GoBack"/>
      <w:bookmarkEnd w:id="0"/>
    </w:p>
    <w:sectPr w:rsidR="006E2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3512"/>
    <w:multiLevelType w:val="multilevel"/>
    <w:tmpl w:val="6956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240E1"/>
    <w:multiLevelType w:val="multilevel"/>
    <w:tmpl w:val="85D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BD"/>
    <w:rsid w:val="000437BD"/>
    <w:rsid w:val="003C3C17"/>
    <w:rsid w:val="006E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8E65B-E496-4830-8CE3-2335C92C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3991">
      <w:bodyDiv w:val="1"/>
      <w:marLeft w:val="0"/>
      <w:marRight w:val="0"/>
      <w:marTop w:val="0"/>
      <w:marBottom w:val="0"/>
      <w:divBdr>
        <w:top w:val="none" w:sz="0" w:space="0" w:color="auto"/>
        <w:left w:val="none" w:sz="0" w:space="0" w:color="auto"/>
        <w:bottom w:val="none" w:sz="0" w:space="0" w:color="auto"/>
        <w:right w:val="none" w:sz="0" w:space="0" w:color="auto"/>
      </w:divBdr>
      <w:divsChild>
        <w:div w:id="67156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Company>SPecialiST RePack</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2023-01-12T07:37:00Z</dcterms:created>
  <dcterms:modified xsi:type="dcterms:W3CDTF">2023-01-12T07:38:00Z</dcterms:modified>
</cp:coreProperties>
</file>