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43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Клей для напольных покрытий</w:t>
      </w:r>
      <w:r w:rsidR="00B13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LINOLEUM</w:t>
      </w:r>
      <w:r w:rsidR="00C00FCE">
        <w:rPr>
          <w:b/>
          <w:sz w:val="28"/>
          <w:szCs w:val="28"/>
          <w:lang w:val="en-US"/>
        </w:rPr>
        <w:t>FIX</w:t>
      </w:r>
    </w:p>
    <w:p w:rsidR="00525941" w:rsidRPr="00525941" w:rsidRDefault="00525941">
      <w:pPr>
        <w:rPr>
          <w:b/>
          <w:sz w:val="28"/>
          <w:szCs w:val="28"/>
        </w:rPr>
      </w:pPr>
    </w:p>
    <w:p w:rsidR="00836358" w:rsidRPr="00836358" w:rsidRDefault="005259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190750" cy="2162175"/>
            <wp:effectExtent l="19050" t="0" r="0" b="0"/>
            <wp:wrapSquare wrapText="bothSides"/>
            <wp:docPr id="2" name="Рисунок 1" descr="linoleum Fi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oleum Fix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39A" w:rsidRDefault="00B1339A" w:rsidP="00B1339A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434228" w:rsidRDefault="00434228" w:rsidP="0043422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00FCE" w:rsidRDefault="00C00FCE" w:rsidP="0043422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</w:t>
      </w:r>
      <w:r w:rsidR="00434228">
        <w:rPr>
          <w:rFonts w:eastAsia="Times New Roman" w:cs="Arial"/>
          <w:color w:val="000000"/>
          <w:lang w:eastAsia="ru-RU"/>
        </w:rPr>
        <w:t>коммерческого и бытового линолеума</w:t>
      </w:r>
    </w:p>
    <w:p w:rsidR="00434228" w:rsidRDefault="00434228" w:rsidP="0043422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Высокая клеящая способность</w:t>
      </w:r>
    </w:p>
    <w:p w:rsidR="00434228" w:rsidRDefault="00434228" w:rsidP="0043422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Эластичный</w:t>
      </w:r>
      <w:proofErr w:type="gramEnd"/>
      <w:r>
        <w:rPr>
          <w:rFonts w:eastAsia="Times New Roman" w:cs="Arial"/>
          <w:color w:val="000000"/>
          <w:lang w:eastAsia="ru-RU"/>
        </w:rPr>
        <w:t>, легкий в применении</w:t>
      </w:r>
    </w:p>
    <w:p w:rsidR="00434228" w:rsidRDefault="00434228" w:rsidP="0043422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Прочный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525941" w:rsidRDefault="00525941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525941" w:rsidRDefault="00525941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525941" w:rsidRDefault="00525941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434228" w:rsidRDefault="00434228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 w:rsidRPr="00434228">
        <w:rPr>
          <w:rFonts w:cs="Arial"/>
          <w:color w:val="000000"/>
          <w:shd w:val="clear" w:color="auto" w:fill="FCFCFC"/>
        </w:rPr>
        <w:t xml:space="preserve">Клей для напольных покрытий БОЛАРС </w:t>
      </w:r>
      <w:proofErr w:type="spellStart"/>
      <w:r w:rsidRPr="00434228">
        <w:rPr>
          <w:rFonts w:cs="Arial"/>
          <w:color w:val="000000"/>
          <w:shd w:val="clear" w:color="auto" w:fill="FCFCFC"/>
        </w:rPr>
        <w:t>LinoleumFix</w:t>
      </w:r>
      <w:proofErr w:type="spellEnd"/>
      <w:r w:rsidRPr="00434228">
        <w:rPr>
          <w:rFonts w:cs="Arial"/>
          <w:color w:val="000000"/>
          <w:shd w:val="clear" w:color="auto" w:fill="FCFCFC"/>
        </w:rPr>
        <w:t xml:space="preserve"> предназначен для приклеивания на впитывающие основания гомогенного и гетерогенного коммерческого линолеума на </w:t>
      </w:r>
      <w:proofErr w:type="spellStart"/>
      <w:r w:rsidRPr="00434228">
        <w:rPr>
          <w:rFonts w:cs="Arial"/>
          <w:color w:val="000000"/>
          <w:shd w:val="clear" w:color="auto" w:fill="FCFCFC"/>
        </w:rPr>
        <w:t>ПВХ-основе</w:t>
      </w:r>
      <w:proofErr w:type="spellEnd"/>
      <w:r w:rsidRPr="00434228">
        <w:rPr>
          <w:rFonts w:cs="Arial"/>
          <w:color w:val="000000"/>
          <w:shd w:val="clear" w:color="auto" w:fill="FCFCFC"/>
        </w:rPr>
        <w:t xml:space="preserve">, бытового и натурального линолеума, текстильных покрытий на вспененной, ворсовой или тканой основе. Подходит для использования в системах «теплый пол». </w:t>
      </w:r>
    </w:p>
    <w:p w:rsidR="00434228" w:rsidRDefault="00434228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C00FCE" w:rsidRPr="00434228" w:rsidRDefault="00434228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 w:rsidRPr="00434228">
        <w:rPr>
          <w:rFonts w:cs="Arial"/>
          <w:color w:val="000000"/>
          <w:shd w:val="clear" w:color="auto" w:fill="FCFCFC"/>
        </w:rPr>
        <w:t>Рекомендуется для бетонных оснований, цементных и  гипсопесчаных стяжек, фанеры, ДВП, ДСП.</w:t>
      </w:r>
    </w:p>
    <w:p w:rsidR="00434228" w:rsidRPr="00836358" w:rsidRDefault="00434228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51E22" w:rsidRPr="00930F2A" w:rsidTr="00DC5F66">
        <w:tc>
          <w:tcPr>
            <w:tcW w:w="4785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</w:tcPr>
          <w:p w:rsidR="00B51E22" w:rsidRPr="00930F2A" w:rsidRDefault="00434228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B51E22" w:rsidP="00B51E22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светло-бежевый</w:t>
            </w:r>
          </w:p>
        </w:tc>
      </w:tr>
      <w:tr w:rsidR="00B51E22" w:rsidRPr="00930F2A" w:rsidTr="00DC5F66">
        <w:tc>
          <w:tcPr>
            <w:tcW w:w="4785" w:type="dxa"/>
          </w:tcPr>
          <w:p w:rsidR="00B51E22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</w:p>
        </w:tc>
        <w:tc>
          <w:tcPr>
            <w:tcW w:w="4786" w:type="dxa"/>
          </w:tcPr>
          <w:p w:rsidR="00B51E22" w:rsidRPr="00930F2A" w:rsidRDefault="00434228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,0 –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D3F6C" w:rsidRPr="00930F2A" w:rsidTr="00DC5F66">
        <w:tc>
          <w:tcPr>
            <w:tcW w:w="4785" w:type="dxa"/>
          </w:tcPr>
          <w:p w:rsidR="00DD3F6C" w:rsidRDefault="00DD3F6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:rsidR="00DD3F6C" w:rsidRDefault="00DD3F6C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2-3 мм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4786" w:type="dxa"/>
          </w:tcPr>
          <w:p w:rsidR="00A5695C" w:rsidRPr="00930F2A" w:rsidRDefault="00B51E22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43422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C00FC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43422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B51E22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</w:tcPr>
          <w:p w:rsidR="00A5695C" w:rsidRPr="00930F2A" w:rsidRDefault="00434228" w:rsidP="0043422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48 часов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полное отверждение –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B51E2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</w:tcPr>
          <w:p w:rsidR="00A5695C" w:rsidRPr="00930F2A" w:rsidRDefault="00A5695C" w:rsidP="00B51E2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51E2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43422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43422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B51E22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ведрах по </w:t>
      </w:r>
      <w:r w:rsidR="00434228">
        <w:rPr>
          <w:rFonts w:cs="Arial"/>
          <w:color w:val="000000"/>
          <w:sz w:val="20"/>
          <w:szCs w:val="20"/>
          <w:shd w:val="clear" w:color="auto" w:fill="FCFCFC"/>
        </w:rPr>
        <w:t>6, 12 и 24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. Срок 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годности </w:t>
      </w:r>
      <w:r w:rsidR="00434228">
        <w:rPr>
          <w:rFonts w:cs="Arial"/>
          <w:color w:val="000000"/>
          <w:sz w:val="20"/>
          <w:szCs w:val="20"/>
          <w:shd w:val="clear" w:color="auto" w:fill="FCFCFC"/>
        </w:rPr>
        <w:t>12</w:t>
      </w:r>
      <w:r w:rsidR="00B51E22">
        <w:rPr>
          <w:rFonts w:cs="Arial"/>
          <w:color w:val="000000"/>
          <w:sz w:val="20"/>
          <w:szCs w:val="20"/>
          <w:shd w:val="clear" w:color="auto" w:fill="FCFCFC"/>
        </w:rPr>
        <w:t xml:space="preserve"> месяцев со дня изготовления, в оригинальной невскрытой упаковке изготовителя.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C3" w:rsidRDefault="00324DC3" w:rsidP="00836358">
      <w:pPr>
        <w:spacing w:after="0" w:line="240" w:lineRule="auto"/>
      </w:pPr>
      <w:r>
        <w:separator/>
      </w:r>
    </w:p>
  </w:endnote>
  <w:endnote w:type="continuationSeparator" w:id="0">
    <w:p w:rsidR="00324DC3" w:rsidRDefault="00324DC3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C3" w:rsidRDefault="00324DC3" w:rsidP="00836358">
      <w:pPr>
        <w:spacing w:after="0" w:line="240" w:lineRule="auto"/>
      </w:pPr>
      <w:r>
        <w:separator/>
      </w:r>
    </w:p>
  </w:footnote>
  <w:footnote w:type="continuationSeparator" w:id="0">
    <w:p w:rsidR="00324DC3" w:rsidRDefault="00324DC3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243371"/>
    <w:rsid w:val="0025362D"/>
    <w:rsid w:val="002E522B"/>
    <w:rsid w:val="00307721"/>
    <w:rsid w:val="00324DC3"/>
    <w:rsid w:val="003639A5"/>
    <w:rsid w:val="003B3EB7"/>
    <w:rsid w:val="003E7FF6"/>
    <w:rsid w:val="004148FB"/>
    <w:rsid w:val="00434228"/>
    <w:rsid w:val="0048227B"/>
    <w:rsid w:val="004900F0"/>
    <w:rsid w:val="004F06F1"/>
    <w:rsid w:val="004F3F49"/>
    <w:rsid w:val="00525941"/>
    <w:rsid w:val="00557AB6"/>
    <w:rsid w:val="005E6BC9"/>
    <w:rsid w:val="006A08A1"/>
    <w:rsid w:val="007342A0"/>
    <w:rsid w:val="00755465"/>
    <w:rsid w:val="00762059"/>
    <w:rsid w:val="00764FEE"/>
    <w:rsid w:val="00836358"/>
    <w:rsid w:val="00930F2A"/>
    <w:rsid w:val="009A1E67"/>
    <w:rsid w:val="009B2A9A"/>
    <w:rsid w:val="00A5695C"/>
    <w:rsid w:val="00A66F7B"/>
    <w:rsid w:val="00AE607C"/>
    <w:rsid w:val="00B1339A"/>
    <w:rsid w:val="00B51E22"/>
    <w:rsid w:val="00B55647"/>
    <w:rsid w:val="00C00FCE"/>
    <w:rsid w:val="00CB7256"/>
    <w:rsid w:val="00DD3F6C"/>
    <w:rsid w:val="00E6623A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2020-06-30T11:49:00Z</dcterms:created>
  <dcterms:modified xsi:type="dcterms:W3CDTF">2022-04-11T12:35:00Z</dcterms:modified>
</cp:coreProperties>
</file>