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B5" w:rsidRPr="00701D75" w:rsidRDefault="00871AB5" w:rsidP="00701D75">
      <w:pPr>
        <w:jc w:val="center"/>
        <w:rPr>
          <w:b/>
          <w:sz w:val="36"/>
        </w:rPr>
      </w:pPr>
      <w:r w:rsidRPr="00701D75">
        <w:rPr>
          <w:b/>
          <w:sz w:val="36"/>
        </w:rPr>
        <w:t>Эмаль акриловая для металлических, оцинкованных и бетонных оснований</w:t>
      </w:r>
    </w:p>
    <w:p w:rsidR="00871AB5" w:rsidRPr="00701D75" w:rsidRDefault="00871AB5" w:rsidP="00701D75">
      <w:pPr>
        <w:jc w:val="center"/>
        <w:rPr>
          <w:sz w:val="32"/>
        </w:rPr>
      </w:pPr>
      <w:r w:rsidRPr="00701D75">
        <w:rPr>
          <w:sz w:val="32"/>
        </w:rPr>
        <w:t>ТУ 2388-033-82200165-2011</w:t>
      </w:r>
    </w:p>
    <w:p w:rsidR="00871AB5" w:rsidRDefault="00871AB5" w:rsidP="003F09A9">
      <w:pPr>
        <w:jc w:val="both"/>
        <w:rPr>
          <w:u w:val="single"/>
        </w:rPr>
      </w:pPr>
    </w:p>
    <w:p w:rsidR="00871AB5" w:rsidRDefault="00871AB5" w:rsidP="003F09A9">
      <w:pPr>
        <w:jc w:val="both"/>
        <w:rPr>
          <w:u w:val="single"/>
        </w:rPr>
      </w:pPr>
      <w:r>
        <w:rPr>
          <w:u w:val="single"/>
        </w:rPr>
        <w:t>Назначение</w:t>
      </w:r>
    </w:p>
    <w:p w:rsidR="00871AB5" w:rsidRPr="00701D75" w:rsidRDefault="00871AB5" w:rsidP="003F09A9">
      <w:pPr>
        <w:jc w:val="both"/>
      </w:pPr>
      <w:r w:rsidRPr="00701D75">
        <w:t xml:space="preserve">Высококачественная быстросохнущая акриловая эмаль с добавлением модифицированной полиуретановой смолы. Для окрашивания </w:t>
      </w:r>
      <w:proofErr w:type="gramStart"/>
      <w:r w:rsidRPr="00701D75">
        <w:t>металлических</w:t>
      </w:r>
      <w:proofErr w:type="gramEnd"/>
      <w:r w:rsidRPr="00701D75">
        <w:t xml:space="preserve"> изделий</w:t>
      </w:r>
      <w:r w:rsidR="00701D75" w:rsidRPr="00701D75">
        <w:t xml:space="preserve"> различного назначения: металлической и оцинкованной кровли, </w:t>
      </w:r>
      <w:proofErr w:type="spellStart"/>
      <w:r w:rsidR="00701D75" w:rsidRPr="00701D75">
        <w:t>металлочерепицы</w:t>
      </w:r>
      <w:proofErr w:type="spellEnd"/>
      <w:r w:rsidR="00701D75" w:rsidRPr="00701D75">
        <w:t xml:space="preserve"> и </w:t>
      </w:r>
      <w:proofErr w:type="spellStart"/>
      <w:r w:rsidR="00701D75" w:rsidRPr="00701D75">
        <w:t>профнастила</w:t>
      </w:r>
      <w:proofErr w:type="spellEnd"/>
      <w:r w:rsidR="00701D75" w:rsidRPr="00701D75">
        <w:t>, водосточной и вентиляционной систем, перил огр</w:t>
      </w:r>
      <w:r w:rsidR="00701D75">
        <w:t>аждения, торгового оборудования, а также бетонных и железобетонных конструкций, подвергающихся периодическому перепаду температур (от -60</w:t>
      </w:r>
      <w:proofErr w:type="gramStart"/>
      <w:r w:rsidR="00701D75">
        <w:t>°С</w:t>
      </w:r>
      <w:proofErr w:type="gramEnd"/>
      <w:r w:rsidR="00701D75">
        <w:t xml:space="preserve"> до +100°С), кратковременному воздействию агрессивных газов, нефтепродуктов, горячей воды и пара. </w:t>
      </w:r>
      <w:r w:rsidR="00701D75" w:rsidRPr="00701D75">
        <w:t xml:space="preserve">Эмаль </w:t>
      </w:r>
      <w:proofErr w:type="spellStart"/>
      <w:r w:rsidR="00701D75" w:rsidRPr="00701D75">
        <w:t>отколерована</w:t>
      </w:r>
      <w:proofErr w:type="spellEnd"/>
      <w:r w:rsidR="00701D75" w:rsidRPr="00701D75">
        <w:t xml:space="preserve"> в соответствии с европейским стандартом </w:t>
      </w:r>
      <w:r w:rsidR="00701D75" w:rsidRPr="00701D75">
        <w:rPr>
          <w:lang w:val="en-US"/>
        </w:rPr>
        <w:t>RAL</w:t>
      </w:r>
      <w:r w:rsidR="00701D75" w:rsidRPr="00701D75">
        <w:t xml:space="preserve">. Покрытие обладает превосходной адгезией к окрашиваемой поверхности, хорошей сопротивляемостью к удару, изгибу и </w:t>
      </w:r>
      <w:proofErr w:type="spellStart"/>
      <w:proofErr w:type="gramStart"/>
      <w:r w:rsidR="00701D75" w:rsidRPr="00701D75">
        <w:t>и</w:t>
      </w:r>
      <w:proofErr w:type="spellEnd"/>
      <w:proofErr w:type="gramEnd"/>
      <w:r w:rsidR="00701D75" w:rsidRPr="00701D75">
        <w:t xml:space="preserve"> другим механическим воздействиям. После высыхания эмаль образует </w:t>
      </w:r>
      <w:proofErr w:type="spellStart"/>
      <w:r w:rsidR="00701D75" w:rsidRPr="00701D75">
        <w:t>полуглянцевое</w:t>
      </w:r>
      <w:proofErr w:type="spellEnd"/>
      <w:r w:rsidR="00701D75" w:rsidRPr="00701D75">
        <w:t xml:space="preserve"> покрытие с высокой </w:t>
      </w:r>
      <w:proofErr w:type="spellStart"/>
      <w:r w:rsidR="00701D75" w:rsidRPr="00701D75">
        <w:t>атмосферостойкостью</w:t>
      </w:r>
      <w:proofErr w:type="spellEnd"/>
      <w:r w:rsidR="00701D75" w:rsidRPr="00701D75">
        <w:t xml:space="preserve"> и длительным сроком эксплуатации.</w:t>
      </w:r>
    </w:p>
    <w:p w:rsidR="003F09A9" w:rsidRDefault="00701D75" w:rsidP="003F09A9">
      <w:pPr>
        <w:jc w:val="both"/>
        <w:rPr>
          <w:u w:val="single"/>
        </w:rPr>
      </w:pPr>
      <w:r>
        <w:rPr>
          <w:u w:val="single"/>
        </w:rPr>
        <w:t>Способ нанесения</w:t>
      </w:r>
    </w:p>
    <w:p w:rsidR="003F09A9" w:rsidRDefault="003F09A9" w:rsidP="003F09A9">
      <w:pPr>
        <w:jc w:val="both"/>
      </w:pPr>
      <w:r>
        <w:t>Во избежание попадания следов эмали необходимо защищать поверхности, не подвергающиеся окраске.</w:t>
      </w:r>
    </w:p>
    <w:p w:rsidR="003F09A9" w:rsidRDefault="003F09A9" w:rsidP="003F09A9">
      <w:pPr>
        <w:jc w:val="both"/>
      </w:pPr>
      <w:r>
        <w:t>Для достижения наилучших результатов эмаль следует наносить при температуре окружающей среды не ниже +10</w:t>
      </w:r>
      <w:r>
        <w:rPr>
          <w:rFonts w:ascii="Calibri" w:hAnsi="Calibri"/>
        </w:rPr>
        <w:t>⁰</w:t>
      </w:r>
      <w:r>
        <w:t>С.</w:t>
      </w:r>
    </w:p>
    <w:p w:rsidR="003F09A9" w:rsidRDefault="003F09A9" w:rsidP="003F09A9">
      <w:pPr>
        <w:jc w:val="both"/>
      </w:pPr>
      <w:r>
        <w:t>Поверхность перед окрашиванием необходимо тщательно обезжирить. Эмаль наносят на чистую и сухую поверхность. Возможно нанесение на старые, неосыпающиеся лакокрасочные покрытия. Алюминиевые поверхности рекомендуется предварительно загрунтовать.</w:t>
      </w:r>
    </w:p>
    <w:p w:rsidR="00694BD9" w:rsidRDefault="00694BD9" w:rsidP="003F09A9">
      <w:pPr>
        <w:jc w:val="both"/>
      </w:pPr>
      <w:r w:rsidRPr="00EA35C5">
        <w:rPr>
          <w:u w:val="single"/>
        </w:rPr>
        <w:t>Расход</w:t>
      </w:r>
      <w:r>
        <w:t xml:space="preserve"> </w:t>
      </w:r>
      <w:proofErr w:type="gramStart"/>
      <w:r>
        <w:t>на</w:t>
      </w:r>
      <w:proofErr w:type="gramEnd"/>
      <w:r>
        <w:t xml:space="preserve"> более 125 </w:t>
      </w:r>
      <w:proofErr w:type="spellStart"/>
      <w:r>
        <w:t>гр</w:t>
      </w:r>
      <w:proofErr w:type="spellEnd"/>
      <w:r>
        <w:t xml:space="preserve">/м² для толщины слоя 50 </w:t>
      </w:r>
      <w:proofErr w:type="spellStart"/>
      <w:r>
        <w:t>мк</w:t>
      </w:r>
      <w:proofErr w:type="spellEnd"/>
      <w:r>
        <w:t xml:space="preserve">. Рекомендуемая толщина слоя 100-120 </w:t>
      </w:r>
      <w:proofErr w:type="spellStart"/>
      <w:r>
        <w:t>мк</w:t>
      </w:r>
      <w:proofErr w:type="spellEnd"/>
      <w:r>
        <w:t xml:space="preserve">, расход 250-300 </w:t>
      </w:r>
      <w:proofErr w:type="spellStart"/>
      <w:r>
        <w:t>гр</w:t>
      </w:r>
      <w:proofErr w:type="spellEnd"/>
      <w:r>
        <w:t>/</w:t>
      </w:r>
      <w:proofErr w:type="gramStart"/>
      <w:r>
        <w:t>м</w:t>
      </w:r>
      <w:proofErr w:type="gramEnd"/>
      <w:r>
        <w:t>².</w:t>
      </w:r>
    </w:p>
    <w:p w:rsidR="00694BD9" w:rsidRDefault="00694BD9" w:rsidP="003F09A9">
      <w:pPr>
        <w:jc w:val="both"/>
      </w:pPr>
      <w:proofErr w:type="spellStart"/>
      <w:r w:rsidRPr="00EA35C5">
        <w:rPr>
          <w:u w:val="single"/>
        </w:rPr>
        <w:t>Укрывистость</w:t>
      </w:r>
      <w:proofErr w:type="spellEnd"/>
      <w:r>
        <w:t xml:space="preserve"> </w:t>
      </w:r>
      <w:proofErr w:type="gramStart"/>
      <w:r>
        <w:t>на</w:t>
      </w:r>
      <w:proofErr w:type="gramEnd"/>
      <w:r>
        <w:t xml:space="preserve"> более 100 </w:t>
      </w:r>
      <w:proofErr w:type="spellStart"/>
      <w:r>
        <w:t>гр</w:t>
      </w:r>
      <w:proofErr w:type="spellEnd"/>
      <w:r>
        <w:t>/м² в зависимости от цвета.</w:t>
      </w:r>
    </w:p>
    <w:p w:rsidR="003F09A9" w:rsidRDefault="003F09A9" w:rsidP="003F09A9">
      <w:pPr>
        <w:jc w:val="both"/>
        <w:rPr>
          <w:u w:val="single"/>
        </w:rPr>
      </w:pPr>
      <w:r>
        <w:rPr>
          <w:u w:val="single"/>
        </w:rPr>
        <w:t>Время высыхания</w:t>
      </w:r>
    </w:p>
    <w:p w:rsidR="003F09A9" w:rsidRDefault="00E946D4" w:rsidP="003F09A9">
      <w:pPr>
        <w:jc w:val="both"/>
      </w:pPr>
      <w:r>
        <w:t>Время сушки «</w:t>
      </w:r>
      <w:r w:rsidR="003F09A9">
        <w:t>на отлип» при температуре +20</w:t>
      </w:r>
      <w:proofErr w:type="gramStart"/>
      <w:r w:rsidR="003F09A9">
        <w:rPr>
          <w:rFonts w:ascii="Calibri" w:hAnsi="Calibri"/>
        </w:rPr>
        <w:t xml:space="preserve">⁰ </w:t>
      </w:r>
      <w:r w:rsidR="003F09A9">
        <w:t>С</w:t>
      </w:r>
      <w:proofErr w:type="gramEnd"/>
      <w:r w:rsidR="003F09A9">
        <w:t xml:space="preserve"> - не менее 40 минут. Время полного высыхания при температуре +20</w:t>
      </w:r>
      <w:proofErr w:type="gramStart"/>
      <w:r w:rsidR="003F09A9">
        <w:rPr>
          <w:rFonts w:ascii="Calibri" w:hAnsi="Calibri"/>
        </w:rPr>
        <w:t xml:space="preserve">⁰ </w:t>
      </w:r>
      <w:r w:rsidR="003F09A9">
        <w:t>С</w:t>
      </w:r>
      <w:proofErr w:type="gramEnd"/>
      <w:r w:rsidR="003F09A9">
        <w:t xml:space="preserve"> - не менее </w:t>
      </w:r>
      <w:r w:rsidR="00694BD9">
        <w:t>1,</w:t>
      </w:r>
      <w:r w:rsidR="003F09A9">
        <w:t>5 часов.</w:t>
      </w:r>
      <w:r w:rsidR="00694BD9">
        <w:t xml:space="preserve"> Межслойная сушка.</w:t>
      </w:r>
    </w:p>
    <w:p w:rsidR="003F09A9" w:rsidRDefault="003F09A9" w:rsidP="003F09A9">
      <w:pPr>
        <w:jc w:val="both"/>
        <w:rPr>
          <w:bCs w:val="0"/>
          <w:u w:val="single"/>
        </w:rPr>
      </w:pPr>
      <w:r>
        <w:rPr>
          <w:bCs w:val="0"/>
          <w:u w:val="single"/>
        </w:rPr>
        <w:t>Меры предосторожности</w:t>
      </w:r>
    </w:p>
    <w:p w:rsidR="003F09A9" w:rsidRDefault="00E946D4" w:rsidP="003F09A9">
      <w:pPr>
        <w:jc w:val="both"/>
        <w:rPr>
          <w:bCs w:val="0"/>
        </w:rPr>
      </w:pPr>
      <w:r>
        <w:rPr>
          <w:bCs w:val="0"/>
        </w:rPr>
        <w:t>При проведении внутренних работ</w:t>
      </w:r>
      <w:r w:rsidR="003F09A9">
        <w:rPr>
          <w:bCs w:val="0"/>
        </w:rPr>
        <w:t>, а также после их окончания тщательно проветрить помещение. Использовать индивидуальные средства защиты.</w:t>
      </w:r>
    </w:p>
    <w:p w:rsidR="003F09A9" w:rsidRDefault="003F09A9" w:rsidP="003F09A9">
      <w:pPr>
        <w:jc w:val="both"/>
        <w:rPr>
          <w:bCs w:val="0"/>
          <w:u w:val="single"/>
        </w:rPr>
      </w:pPr>
      <w:r>
        <w:rPr>
          <w:bCs w:val="0"/>
          <w:u w:val="single"/>
        </w:rPr>
        <w:t>Хранение</w:t>
      </w:r>
    </w:p>
    <w:p w:rsidR="003F09A9" w:rsidRDefault="003F09A9" w:rsidP="003F09A9">
      <w:pPr>
        <w:jc w:val="both"/>
        <w:rPr>
          <w:bCs w:val="0"/>
        </w:rPr>
      </w:pPr>
      <w:r>
        <w:rPr>
          <w:bCs w:val="0"/>
        </w:rPr>
        <w:t>Не нагревать. Беречь от огня. Эмаль хранить в прочно закрытой таре, предохраняя от действия тепла и прямых солнечных лучей.</w:t>
      </w:r>
    </w:p>
    <w:p w:rsidR="003F09A9" w:rsidRDefault="003F09A9" w:rsidP="003F09A9">
      <w:pPr>
        <w:jc w:val="both"/>
        <w:rPr>
          <w:bCs w:val="0"/>
          <w:u w:val="single"/>
        </w:rPr>
      </w:pPr>
      <w:r>
        <w:rPr>
          <w:bCs w:val="0"/>
          <w:u w:val="single"/>
        </w:rPr>
        <w:t>Гарантийный срок</w:t>
      </w:r>
    </w:p>
    <w:p w:rsidR="002C2A96" w:rsidRDefault="003F09A9" w:rsidP="003F09A9">
      <w:pPr>
        <w:jc w:val="both"/>
        <w:rPr>
          <w:bCs w:val="0"/>
        </w:rPr>
      </w:pPr>
      <w:r>
        <w:rPr>
          <w:bCs w:val="0"/>
        </w:rPr>
        <w:t>Гарантийный срок хранения</w:t>
      </w:r>
      <w:r w:rsidR="00694BD9">
        <w:rPr>
          <w:bCs w:val="0"/>
        </w:rPr>
        <w:t xml:space="preserve"> </w:t>
      </w:r>
      <w:bookmarkStart w:id="0" w:name="_GoBack"/>
      <w:bookmarkEnd w:id="0"/>
      <w:r w:rsidR="003811EE">
        <w:rPr>
          <w:bCs w:val="0"/>
        </w:rPr>
        <w:t>3 года.</w:t>
      </w:r>
    </w:p>
    <w:p w:rsidR="002C2A96" w:rsidRDefault="002C2A96" w:rsidP="003F09A9">
      <w:pPr>
        <w:jc w:val="both"/>
        <w:rPr>
          <w:bCs w:val="0"/>
        </w:rPr>
      </w:pPr>
    </w:p>
    <w:p w:rsidR="002C2A96" w:rsidRDefault="002C2A96" w:rsidP="003F09A9">
      <w:pPr>
        <w:jc w:val="both"/>
        <w:rPr>
          <w:bCs w:val="0"/>
        </w:rPr>
      </w:pPr>
    </w:p>
    <w:p w:rsidR="002C2A96" w:rsidRDefault="002C2A96" w:rsidP="003F09A9">
      <w:pPr>
        <w:jc w:val="both"/>
        <w:rPr>
          <w:bCs w:val="0"/>
        </w:rPr>
      </w:pPr>
    </w:p>
    <w:p w:rsidR="002C2A96" w:rsidRPr="00066A25" w:rsidRDefault="002C2A96" w:rsidP="002C2A96">
      <w:pPr>
        <w:tabs>
          <w:tab w:val="left" w:pos="6105"/>
          <w:tab w:val="left" w:pos="10773"/>
        </w:tabs>
        <w:rPr>
          <w:rFonts w:eastAsia="Calibri"/>
          <w:color w:val="000000"/>
          <w:sz w:val="20"/>
          <w:szCs w:val="24"/>
        </w:rPr>
      </w:pPr>
      <w:r w:rsidRPr="00066A25">
        <w:rPr>
          <w:rFonts w:eastAsia="Calibri"/>
          <w:color w:val="000000"/>
          <w:sz w:val="20"/>
          <w:szCs w:val="24"/>
        </w:rPr>
        <w:lastRenderedPageBreak/>
        <w:t>Приведённая выше информация основана на лабораторных испытаниях, практическом опыте и представлена во всей доступной нам полноте. Качество продукции обеспечивается системой качества компании, соответствующей международным стандартам ISO 9001. Будучи исключительно производителем, мы не имеем возможности контролировать условия использования нашей продукции или те многочисленные факторы, которые влияют на её эксплуатацию. Мы не несём ответственности за какой-либо ущерб, связанный с применением продукта не по назначению или нарушением требований инструкции по эксплуатации. Наша компания также оставляет за собой право вносить изменения в вышеуказанную информацию без предварительного уведомления. Данный продукт предназначен исключительно для профессионального использования и должен применяться только специалистами, обладающими необходимыми для применения продукта знаниями и опытом. Приведённая выше информация носит рекомендательный характер. Компания-производитель не несёт ответственности за условия эксплуатации продукта и сам процесс его использования. В случае</w:t>
      </w:r>
      <w:proofErr w:type="gramStart"/>
      <w:r w:rsidRPr="00066A25">
        <w:rPr>
          <w:rFonts w:eastAsia="Calibri"/>
          <w:color w:val="000000"/>
          <w:sz w:val="20"/>
          <w:szCs w:val="24"/>
        </w:rPr>
        <w:t>,</w:t>
      </w:r>
      <w:proofErr w:type="gramEnd"/>
      <w:r w:rsidRPr="00066A25">
        <w:rPr>
          <w:rFonts w:eastAsia="Calibri"/>
          <w:color w:val="000000"/>
          <w:sz w:val="20"/>
          <w:szCs w:val="24"/>
        </w:rPr>
        <w:t xml:space="preserve"> если вы намереваетесь использовать продукт не по назначению без нашего предварительного письменного подтверждения его пригодности для заявленной цели, такое использование осуществляется на ваш собственный риск.</w:t>
      </w:r>
    </w:p>
    <w:p w:rsidR="002C2A96" w:rsidRDefault="002C2A96" w:rsidP="003F09A9">
      <w:pPr>
        <w:jc w:val="both"/>
        <w:rPr>
          <w:bCs w:val="0"/>
        </w:rPr>
      </w:pPr>
    </w:p>
    <w:p w:rsidR="003F09A9" w:rsidRDefault="003F09A9" w:rsidP="003F09A9">
      <w:pPr>
        <w:jc w:val="both"/>
      </w:pPr>
    </w:p>
    <w:sectPr w:rsidR="003F09A9" w:rsidSect="00DD4AB7">
      <w:headerReference w:type="default" r:id="rId7"/>
      <w:footerReference w:type="default" r:id="rId8"/>
      <w:pgSz w:w="11906" w:h="16838"/>
      <w:pgMar w:top="709" w:right="850" w:bottom="113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36" w:rsidRDefault="00D50736" w:rsidP="00DD4AB7">
      <w:r>
        <w:separator/>
      </w:r>
    </w:p>
  </w:endnote>
  <w:endnote w:type="continuationSeparator" w:id="0">
    <w:p w:rsidR="00D50736" w:rsidRDefault="00D50736" w:rsidP="00DD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A9" w:rsidRPr="003F09A9" w:rsidRDefault="003F09A9" w:rsidP="003F09A9">
    <w:pPr>
      <w:pStyle w:val="a6"/>
      <w:jc w:val="center"/>
      <w:rPr>
        <w:sz w:val="22"/>
      </w:rPr>
    </w:pPr>
    <w:r w:rsidRPr="003F09A9">
      <w:rPr>
        <w:sz w:val="22"/>
      </w:rPr>
      <w:t>(843) 2125151, 2125152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36" w:rsidRDefault="00D50736" w:rsidP="00DD4AB7">
      <w:r>
        <w:separator/>
      </w:r>
    </w:p>
  </w:footnote>
  <w:footnote w:type="continuationSeparator" w:id="0">
    <w:p w:rsidR="00D50736" w:rsidRDefault="00D50736" w:rsidP="00DD4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B7" w:rsidRDefault="00DD4AB7" w:rsidP="00DD4AB7">
    <w:pPr>
      <w:pStyle w:val="a4"/>
      <w:jc w:val="center"/>
    </w:pPr>
    <w:r>
      <w:rPr>
        <w:noProof/>
      </w:rPr>
      <w:drawing>
        <wp:inline distT="0" distB="0" distL="0" distR="0">
          <wp:extent cx="1609725" cy="276225"/>
          <wp:effectExtent l="19050" t="0" r="9525" b="0"/>
          <wp:docPr id="1" name="Рисунок 1" descr="lakk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ko3"/>
                  <pic:cNvPicPr>
                    <a:picLocks noChangeAspect="1" noChangeArrowheads="1"/>
                  </pic:cNvPicPr>
                </pic:nvPicPr>
                <pic:blipFill>
                  <a:blip r:embed="rId1"/>
                  <a:srcRect/>
                  <a:stretch>
                    <a:fillRect/>
                  </a:stretch>
                </pic:blipFill>
                <pic:spPr bwMode="auto">
                  <a:xfrm>
                    <a:off x="0" y="0"/>
                    <a:ext cx="1609725" cy="276225"/>
                  </a:xfrm>
                  <a:prstGeom prst="rect">
                    <a:avLst/>
                  </a:prstGeom>
                  <a:noFill/>
                  <a:ln w="9525">
                    <a:noFill/>
                    <a:miter lim="800000"/>
                    <a:headEnd/>
                    <a:tailEnd/>
                  </a:ln>
                </pic:spPr>
              </pic:pic>
            </a:graphicData>
          </a:graphic>
        </wp:inline>
      </w:drawing>
    </w:r>
  </w:p>
  <w:p w:rsidR="00DD4AB7" w:rsidRDefault="00DD4AB7" w:rsidP="00DD4AB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4AB7"/>
    <w:rsid w:val="00023277"/>
    <w:rsid w:val="00050993"/>
    <w:rsid w:val="0028692C"/>
    <w:rsid w:val="002C2A96"/>
    <w:rsid w:val="003811EE"/>
    <w:rsid w:val="003F09A9"/>
    <w:rsid w:val="00442457"/>
    <w:rsid w:val="004A5A60"/>
    <w:rsid w:val="004E5DA2"/>
    <w:rsid w:val="00625D7A"/>
    <w:rsid w:val="006372CE"/>
    <w:rsid w:val="00694BD9"/>
    <w:rsid w:val="006C7F26"/>
    <w:rsid w:val="00701D75"/>
    <w:rsid w:val="007F00A6"/>
    <w:rsid w:val="00871AB5"/>
    <w:rsid w:val="00944ECF"/>
    <w:rsid w:val="00957599"/>
    <w:rsid w:val="009D550C"/>
    <w:rsid w:val="00A231D4"/>
    <w:rsid w:val="00BD62B4"/>
    <w:rsid w:val="00D50736"/>
    <w:rsid w:val="00DC69F8"/>
    <w:rsid w:val="00DD4AB7"/>
    <w:rsid w:val="00E946D4"/>
    <w:rsid w:val="00E97E60"/>
    <w:rsid w:val="00EA35C5"/>
    <w:rsid w:val="00F0315B"/>
    <w:rsid w:val="00FD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7"/>
    <w:pPr>
      <w:widowControl w:val="0"/>
      <w:autoSpaceDE w:val="0"/>
      <w:autoSpaceDN w:val="0"/>
      <w:adjustRightInd w:val="0"/>
      <w:spacing w:after="0" w:line="240" w:lineRule="auto"/>
      <w:outlineLvl w:val="0"/>
    </w:pPr>
    <w:rPr>
      <w:rFonts w:ascii="Times New Roman" w:eastAsia="Times New Roman" w:hAnsi="Times New Roman" w:cs="Times New Roman"/>
      <w:bCs/>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DD4AB7"/>
    <w:pPr>
      <w:widowControl/>
      <w:autoSpaceDE/>
      <w:autoSpaceDN/>
      <w:adjustRightInd/>
      <w:spacing w:before="100" w:beforeAutospacing="1" w:after="100" w:afterAutospacing="1"/>
    </w:pPr>
  </w:style>
  <w:style w:type="paragraph" w:styleId="a3">
    <w:name w:val="No Spacing"/>
    <w:uiPriority w:val="1"/>
    <w:qFormat/>
    <w:rsid w:val="00DD4AB7"/>
    <w:pPr>
      <w:spacing w:after="0" w:line="240" w:lineRule="auto"/>
      <w:ind w:firstLine="709"/>
      <w:jc w:val="both"/>
    </w:pPr>
    <w:rPr>
      <w:rFonts w:ascii="Times New Roman" w:eastAsia="Calibri" w:hAnsi="Times New Roman" w:cs="Times New Roman"/>
      <w:sz w:val="28"/>
      <w:szCs w:val="28"/>
    </w:rPr>
  </w:style>
  <w:style w:type="paragraph" w:styleId="a4">
    <w:name w:val="header"/>
    <w:basedOn w:val="a"/>
    <w:link w:val="a5"/>
    <w:uiPriority w:val="99"/>
    <w:semiHidden/>
    <w:unhideWhenUsed/>
    <w:rsid w:val="00DD4AB7"/>
    <w:pPr>
      <w:tabs>
        <w:tab w:val="center" w:pos="4677"/>
        <w:tab w:val="right" w:pos="9355"/>
      </w:tabs>
    </w:pPr>
  </w:style>
  <w:style w:type="character" w:customStyle="1" w:styleId="a5">
    <w:name w:val="Верхний колонтитул Знак"/>
    <w:basedOn w:val="a0"/>
    <w:link w:val="a4"/>
    <w:uiPriority w:val="99"/>
    <w:semiHidden/>
    <w:rsid w:val="00DD4AB7"/>
    <w:rPr>
      <w:rFonts w:ascii="Times New Roman" w:eastAsia="Times New Roman" w:hAnsi="Times New Roman" w:cs="Times New Roman"/>
      <w:bCs/>
      <w:kern w:val="36"/>
      <w:sz w:val="28"/>
      <w:szCs w:val="28"/>
      <w:lang w:eastAsia="ru-RU"/>
    </w:rPr>
  </w:style>
  <w:style w:type="paragraph" w:styleId="a6">
    <w:name w:val="footer"/>
    <w:basedOn w:val="a"/>
    <w:link w:val="a7"/>
    <w:uiPriority w:val="99"/>
    <w:semiHidden/>
    <w:unhideWhenUsed/>
    <w:rsid w:val="00DD4AB7"/>
    <w:pPr>
      <w:tabs>
        <w:tab w:val="center" w:pos="4677"/>
        <w:tab w:val="right" w:pos="9355"/>
      </w:tabs>
    </w:pPr>
  </w:style>
  <w:style w:type="character" w:customStyle="1" w:styleId="a7">
    <w:name w:val="Нижний колонтитул Знак"/>
    <w:basedOn w:val="a0"/>
    <w:link w:val="a6"/>
    <w:uiPriority w:val="99"/>
    <w:semiHidden/>
    <w:rsid w:val="00DD4AB7"/>
    <w:rPr>
      <w:rFonts w:ascii="Times New Roman" w:eastAsia="Times New Roman" w:hAnsi="Times New Roman" w:cs="Times New Roman"/>
      <w:bCs/>
      <w:kern w:val="36"/>
      <w:sz w:val="28"/>
      <w:szCs w:val="28"/>
      <w:lang w:eastAsia="ru-RU"/>
    </w:rPr>
  </w:style>
  <w:style w:type="paragraph" w:styleId="a8">
    <w:name w:val="Balloon Text"/>
    <w:basedOn w:val="a"/>
    <w:link w:val="a9"/>
    <w:uiPriority w:val="99"/>
    <w:semiHidden/>
    <w:unhideWhenUsed/>
    <w:rsid w:val="00DD4AB7"/>
    <w:rPr>
      <w:rFonts w:ascii="Tahoma" w:hAnsi="Tahoma" w:cs="Tahoma"/>
      <w:sz w:val="16"/>
      <w:szCs w:val="16"/>
    </w:rPr>
  </w:style>
  <w:style w:type="character" w:customStyle="1" w:styleId="a9">
    <w:name w:val="Текст выноски Знак"/>
    <w:basedOn w:val="a0"/>
    <w:link w:val="a8"/>
    <w:uiPriority w:val="99"/>
    <w:semiHidden/>
    <w:rsid w:val="00DD4AB7"/>
    <w:rPr>
      <w:rFonts w:ascii="Tahoma" w:eastAsia="Times New Roman" w:hAnsi="Tahoma" w:cs="Tahoma"/>
      <w:bCs/>
      <w:kern w:val="36"/>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Ляйсан</cp:lastModifiedBy>
  <cp:revision>12</cp:revision>
  <cp:lastPrinted>2018-05-04T12:35:00Z</cp:lastPrinted>
  <dcterms:created xsi:type="dcterms:W3CDTF">2012-08-13T11:57:00Z</dcterms:created>
  <dcterms:modified xsi:type="dcterms:W3CDTF">2021-06-29T06:46:00Z</dcterms:modified>
</cp:coreProperties>
</file>