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ind w:left="0"/>
        <w:rPr>
          <w:rFonts w:ascii="Times New Roman"/>
          <w:sz w:val="17"/>
        </w:rPr>
      </w:pPr>
      <w:r>
        <w:rPr/>
        <w:pict>
          <v:group style="position:absolute;margin-left:24pt;margin-top:23.999983pt;width:547.450pt;height:794.05pt;mso-position-horizontal-relative:page;mso-position-vertical-relative:page;z-index:-251745280" coordorigin="480,480" coordsize="10949,15881">
            <v:shape style="position:absolute;left:798;top:549;width:10244;height:1133" type="#_x0000_t75" stroked="false">
              <v:imagedata r:id="rId5" o:title=""/>
            </v:shape>
            <v:rect style="position:absolute;left:480;top:480;width:48;height:10" filled="true" fillcolor="#000000" stroked="false">
              <v:fill type="solid"/>
            </v:rect>
            <v:rect style="position:absolute;left:489;top:489;width:39;height:10" filled="true" fillcolor="#ffffff" stroked="false">
              <v:fill type="solid"/>
            </v:rect>
            <v:rect style="position:absolute;left:499;top:499;width:29;height:10" filled="true" fillcolor="#000000" stroked="false">
              <v:fill type="solid"/>
            </v:rect>
            <v:rect style="position:absolute;left:508;top:508;width:20;height:10" filled="true" fillcolor="#ffffff" stroked="false">
              <v:fill type="solid"/>
            </v:rect>
            <v:line style="position:absolute" from="528,485" to="11380,485" stroked="true" strokeweight=".48pt" strokecolor="#000000">
              <v:stroke dashstyle="solid"/>
            </v:line>
            <v:line style="position:absolute" from="528,494" to="11380,494" stroked="true" strokeweight=".48pt" strokecolor="#ffffff">
              <v:stroke dashstyle="solid"/>
            </v:line>
            <v:line style="position:absolute" from="528,504" to="11380,504" stroked="true" strokeweight=".48pt" strokecolor="#000000">
              <v:stroke dashstyle="solid"/>
            </v:line>
            <v:line style="position:absolute" from="528,514" to="11380,514" stroked="true" strokeweight=".48pt" strokecolor="#ffffff">
              <v:stroke dashstyle="solid"/>
            </v:line>
            <v:line style="position:absolute" from="528,523" to="11380,523" stroked="true" strokeweight=".48pt" strokecolor="#000000">
              <v:stroke dashstyle="solid"/>
            </v:line>
            <v:shape style="position:absolute;left:11380;top:480;width:49;height:29" coordorigin="11380,480" coordsize="49,29" path="m11409,499l11380,499,11380,509,11409,509,11409,499m11429,480l11380,480,11380,490,11429,490,11429,480e" filled="true" fillcolor="#000000" stroked="false">
              <v:path arrowok="t"/>
              <v:fill type="solid"/>
            </v:shape>
            <v:line style="position:absolute" from="485,480" to="485,16313" stroked="true" strokeweight=".48pt" strokecolor="#000000">
              <v:stroke dashstyle="solid"/>
            </v:line>
            <v:line style="position:absolute" from="504,499" to="504,16342" stroked="true" strokeweight=".48pt" strokecolor="#000000">
              <v:stroke dashstyle="solid"/>
            </v:line>
            <v:line style="position:absolute" from="514,509" to="514,16313" stroked="true" strokeweight=".48pt" strokecolor="#ffffff">
              <v:stroke dashstyle="solid"/>
            </v:line>
            <v:line style="position:absolute" from="523,518" to="523,16322" stroked="true" strokeweight=".48pt" strokecolor="#000000">
              <v:stroke dashstyle="solid"/>
            </v:line>
            <v:line style="position:absolute" from="11424,480" to="11424,16361" stroked="true" strokeweight=".48pt" strokecolor="#000000">
              <v:stroke dashstyle="solid"/>
            </v:line>
            <v:line style="position:absolute" from="11404,499" to="11404,16342" stroked="true" strokeweight=".48pt" strokecolor="#000000">
              <v:stroke dashstyle="solid"/>
            </v:line>
            <v:line style="position:absolute" from="11385,518" to="11385,16322" stroked="true" strokeweight=".48pt" strokecolor="#000000">
              <v:stroke dashstyle="solid"/>
            </v:line>
            <v:shape style="position:absolute;left:480;top:16312;width:48;height:48" coordorigin="480,16313" coordsize="48,48" path="m528,16351l490,16351,490,16313,480,16313,480,16351,480,16361,490,16361,528,16361,528,16351m528,16332l499,16332,499,16342,528,16342,528,16332e" filled="true" fillcolor="#000000" stroked="false">
              <v:path arrowok="t"/>
              <v:fill type="solid"/>
            </v:shape>
            <v:line style="position:absolute" from="528,16356" to="11380,16356" stroked="true" strokeweight=".48pt" strokecolor="#000000">
              <v:stroke dashstyle="solid"/>
            </v:line>
            <v:line style="position:absolute" from="528,16337" to="11380,16337" stroked="true" strokeweight=".48pt" strokecolor="#000000">
              <v:stroke dashstyle="solid"/>
            </v:line>
            <v:line style="position:absolute" from="528,16318" to="11380,16318" stroked="true" strokeweight=".48pt" strokecolor="#000000">
              <v:stroke dashstyle="solid"/>
            </v:line>
            <v:shape style="position:absolute;left:11380;top:16332;width:49;height:29" coordorigin="11380,16332" coordsize="49,29" path="m11409,16332l11380,16332,11380,16342,11409,16342,11409,16332m11429,16351l11380,16351,11380,16361,11429,16361,11429,16351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94"/>
        <w:ind w:left="492" w:right="503"/>
        <w:jc w:val="center"/>
        <w:rPr>
          <w:u w:val="none"/>
        </w:rPr>
      </w:pPr>
      <w:r>
        <w:rPr>
          <w:u w:val="none"/>
        </w:rPr>
        <w:t>ТЕХНИЧЕСКОЕ ОПИСАНИЕ</w:t>
      </w:r>
    </w:p>
    <w:p>
      <w:pPr>
        <w:pStyle w:val="BodyText"/>
        <w:ind w:left="0"/>
        <w:rPr>
          <w:b/>
        </w:rPr>
      </w:pPr>
    </w:p>
    <w:p>
      <w:pPr>
        <w:spacing w:before="0"/>
        <w:ind w:left="494" w:right="503" w:firstLine="0"/>
        <w:jc w:val="center"/>
        <w:rPr>
          <w:b/>
          <w:sz w:val="22"/>
        </w:rPr>
      </w:pPr>
      <w:r>
        <w:rPr>
          <w:b/>
          <w:sz w:val="22"/>
        </w:rPr>
        <w:t>Огнезащитный противопожарный терморасширяющийся герметик «ОГНЕЗА-ГТ» для кабельных проходок</w:t>
      </w:r>
    </w:p>
    <w:p>
      <w:pPr>
        <w:pStyle w:val="BodyText"/>
        <w:spacing w:before="3"/>
        <w:ind w:left="494" w:right="501"/>
        <w:jc w:val="center"/>
      </w:pPr>
      <w:r>
        <w:rPr/>
        <w:t>(ТУ 2313−004−92450604−2013)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Описание:</w:t>
      </w:r>
    </w:p>
    <w:p>
      <w:pPr>
        <w:pStyle w:val="BodyText"/>
        <w:spacing w:before="2"/>
        <w:ind w:left="101" w:right="106" w:firstLine="566"/>
        <w:jc w:val="both"/>
      </w:pPr>
      <w:r>
        <w:rPr/>
        <w:t>Герметик ОГНЕЗА-ГТ – акриловая пастообразная композиция, предназначенная для заделки мест прохода кабелей через ограждающие конструкции с нормируемыми пределами огнестойкости или противопожарные преграды, препятствующие распространению огня в примыкающие помещения в течение нормированного времени. Герметик применяется для заделки швов и стыков, используется в системе огнезащитных кабельных проходок и др. Специально подобранные вспучивающиеся при повышенных температурах (около 200 °С) антипиреновые добавки допускают использование герметика в системе с относительно горючими материалами. При повышенных температурах добавки вступают в реакцию и заполняют (герметизируют) преграды огнеупорным пенококсом с низкой теплопроводностью, тем самым предотвращая проникновение огня и дыма.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Характеристики:</w:t>
      </w:r>
    </w:p>
    <w:p>
      <w:pPr>
        <w:pStyle w:val="BodyText"/>
        <w:spacing w:line="252" w:lineRule="exact" w:before="1"/>
      </w:pPr>
      <w:r>
        <w:rPr/>
        <w:t>-Не содержит асбеста.</w:t>
      </w:r>
    </w:p>
    <w:p>
      <w:pPr>
        <w:pStyle w:val="BodyText"/>
        <w:spacing w:line="252" w:lineRule="exact"/>
      </w:pPr>
      <w:r>
        <w:rPr/>
        <w:t>-Огнезащита кабельных линий до 120 минут.</w:t>
      </w:r>
    </w:p>
    <w:p>
      <w:pPr>
        <w:pStyle w:val="BodyText"/>
        <w:spacing w:before="2"/>
        <w:ind w:left="101" w:firstLine="566"/>
      </w:pPr>
      <w:r>
        <w:rPr/>
        <w:t>-Отличная адгезия к металлу, бетону, дереву, кирпичу, кафельной плитке и другим строительным поверхностям.</w:t>
      </w:r>
    </w:p>
    <w:p>
      <w:pPr>
        <w:pStyle w:val="BodyText"/>
        <w:ind w:left="101" w:firstLine="566"/>
      </w:pPr>
      <w:r>
        <w:rPr/>
        <w:t>-После застывания образует механически прочную, износостойкую и влагостойкую заделку.</w:t>
      </w:r>
    </w:p>
    <w:p>
      <w:pPr>
        <w:pStyle w:val="BodyText"/>
        <w:spacing w:line="252" w:lineRule="exact" w:before="1"/>
      </w:pPr>
      <w:r>
        <w:rPr/>
        <w:t>-Устойчив к резким кратковременным перепадам температуры в пределах от -60 °С до</w:t>
      </w:r>
    </w:p>
    <w:p>
      <w:pPr>
        <w:pStyle w:val="BodyText"/>
        <w:spacing w:line="252" w:lineRule="exact"/>
        <w:ind w:left="101"/>
      </w:pPr>
      <w:r>
        <w:rPr/>
        <w:t>+150 °С.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spacing w:before="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Область применения:</w:t>
      </w:r>
    </w:p>
    <w:p>
      <w:pPr>
        <w:pStyle w:val="BodyText"/>
        <w:spacing w:before="1"/>
      </w:pPr>
      <w:r>
        <w:rPr/>
        <w:t>-Огнезащитные проходки для одиночных кабелей и пучков.</w:t>
      </w:r>
    </w:p>
    <w:p>
      <w:pPr>
        <w:pStyle w:val="BodyText"/>
        <w:spacing w:before="1"/>
      </w:pPr>
      <w:r>
        <w:rPr/>
        <w:t>-Уплотнение конструкционных швов и стыков в местах, где предъявлены особые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19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Физические характеристики:</w:t>
      </w:r>
    </w:p>
    <w:p>
      <w:pPr>
        <w:pStyle w:val="BodyText"/>
        <w:spacing w:before="1"/>
      </w:pPr>
      <w:r>
        <w:rPr/>
        <w:t>Цвет: серый</w:t>
      </w:r>
    </w:p>
    <w:p>
      <w:pPr>
        <w:pStyle w:val="BodyText"/>
        <w:spacing w:line="252" w:lineRule="exact" w:before="2"/>
      </w:pPr>
      <w:r>
        <w:rPr/>
        <w:t>Плотность при 20°С: 1,0-1,2 гр/см</w:t>
      </w:r>
      <w:r>
        <w:rPr>
          <w:vertAlign w:val="superscript"/>
        </w:rPr>
        <w:t>3</w:t>
      </w:r>
    </w:p>
    <w:p>
      <w:pPr>
        <w:pStyle w:val="BodyText"/>
        <w:ind w:right="4332"/>
      </w:pPr>
      <w:r>
        <w:rPr/>
        <w:t>Температура нанесения: от +5°С до +80°С Температура эксплуатации: от -40°С до +120°С</w:t>
      </w:r>
    </w:p>
    <w:p>
      <w:pPr>
        <w:pStyle w:val="BodyText"/>
        <w:ind w:right="3428"/>
      </w:pPr>
      <w:r>
        <w:rPr/>
        <w:t>Время затвердевания верхнего слоя при 20°С: 25 минут Высыхание при 20°С – 2-3 мм в день.</w:t>
      </w:r>
    </w:p>
    <w:p>
      <w:pPr>
        <w:pStyle w:val="BodyText"/>
        <w:spacing w:before="1"/>
      </w:pPr>
      <w:r>
        <w:rPr/>
        <w:t>Окончательное формирование покрытия происходит не более чем через 6 дней после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Хранение и транспортировка:</w:t>
      </w:r>
    </w:p>
    <w:p>
      <w:pPr>
        <w:pStyle w:val="BodyText"/>
        <w:spacing w:before="2"/>
        <w:ind w:left="101" w:firstLine="566"/>
      </w:pPr>
      <w:r>
        <w:rPr/>
        <w:t>Герметик «ОГНЕЗА-ГТ» следует хранить и транспортировать при температуре от -30 </w:t>
      </w:r>
      <w:r>
        <w:rPr>
          <w:vertAlign w:val="superscript"/>
        </w:rPr>
        <w:t>о</w:t>
      </w:r>
      <w:r>
        <w:rPr>
          <w:vertAlign w:val="baseline"/>
        </w:rPr>
        <w:t>С до +50</w:t>
      </w:r>
      <w:r>
        <w:rPr>
          <w:vertAlign w:val="superscript"/>
        </w:rPr>
        <w:t>о</w:t>
      </w:r>
      <w:r>
        <w:rPr>
          <w:vertAlign w:val="baseline"/>
        </w:rPr>
        <w:t>С. Гарантийный срок хранения герметика в заводской упаковке - 12 месяцев.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56"/>
          <w:w w:val="100"/>
          <w:u w:val="none"/>
        </w:rPr>
        <w:t> </w:t>
      </w:r>
      <w:r>
        <w:rPr>
          <w:u w:val="thick"/>
        </w:rPr>
        <w:t>Правила безопасности:</w:t>
      </w:r>
    </w:p>
    <w:p>
      <w:pPr>
        <w:pStyle w:val="BodyText"/>
        <w:spacing w:line="252" w:lineRule="exact" w:before="4"/>
      </w:pPr>
      <w:r>
        <w:rPr/>
        <w:t>Все работы с герметиком должны проводиться в хорошо проветриваемых помещениях.</w:t>
      </w:r>
    </w:p>
    <w:p>
      <w:pPr>
        <w:pStyle w:val="BodyText"/>
        <w:spacing w:line="252" w:lineRule="exact"/>
        <w:ind w:left="101"/>
      </w:pPr>
      <w:r>
        <w:rPr/>
        <w:t>Инструмент, тару, пятна отмывают теплой водой с мылом.</w:t>
      </w:r>
    </w:p>
    <w:sectPr>
      <w:type w:val="continuous"/>
      <w:pgSz w:w="11910" w:h="16840"/>
      <w:pgMar w:top="1580" w:bottom="280" w:left="12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667"/>
    </w:pPr>
    <w:rPr>
      <w:rFonts w:ascii="Arial" w:hAnsi="Arial" w:eastAsia="Arial" w:cs="Arial"/>
      <w:sz w:val="22"/>
      <w:szCs w:val="22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667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ru-RU" w:eastAsia="ru-RU" w:bidi="ru-RU"/>
    </w:rPr>
  </w:style>
  <w:style w:styleId="ListParagraph" w:type="paragraph">
    <w:name w:val="List Paragraph"/>
    <w:basedOn w:val="Normal"/>
    <w:uiPriority w:val="1"/>
    <w:qFormat/>
    <w:pPr/>
    <w:rPr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2021-04-22T11:14:11Z</dcterms:created>
  <dcterms:modified xsi:type="dcterms:W3CDTF">2021-04-22T11:14:11Z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2021-04-22T00:00:00Z</vt:filetime>
  </property>
</Properties>
</file>