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A2" w:rsidRPr="00311D2C" w:rsidRDefault="00EA30A2" w:rsidP="00181435">
      <w:pPr>
        <w:spacing w:after="0"/>
        <w:ind w:firstLine="540"/>
        <w:jc w:val="center"/>
        <w:rPr>
          <w:rFonts w:cstheme="minorHAnsi"/>
          <w:b/>
        </w:rPr>
      </w:pPr>
      <w:r w:rsidRPr="00311D2C">
        <w:rPr>
          <w:rFonts w:cstheme="minorHAnsi"/>
          <w:b/>
        </w:rPr>
        <w:t>ПАСПОРТ ИЗДЕЛИЯ</w:t>
      </w:r>
    </w:p>
    <w:p w:rsidR="00EA30A2" w:rsidRPr="00311D2C" w:rsidRDefault="00EA30A2" w:rsidP="00181435">
      <w:pPr>
        <w:spacing w:after="0"/>
        <w:jc w:val="center"/>
        <w:rPr>
          <w:rFonts w:eastAsia="Times New Roman" w:cstheme="minorHAnsi"/>
          <w:b/>
          <w:lang w:eastAsia="ru-RU"/>
        </w:rPr>
      </w:pPr>
      <w:r w:rsidRPr="00311D2C">
        <w:rPr>
          <w:rFonts w:eastAsia="Times New Roman" w:cstheme="minorHAnsi"/>
          <w:b/>
          <w:lang w:eastAsia="ru-RU"/>
        </w:rPr>
        <w:t>Балансир с винтовым механизмом для вывешивания двигателя 680кг</w:t>
      </w:r>
    </w:p>
    <w:p w:rsidR="00EA30A2" w:rsidRPr="00311D2C" w:rsidRDefault="00EA30A2" w:rsidP="00181435">
      <w:pPr>
        <w:spacing w:after="0"/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EA30A2" w:rsidRPr="00311D2C" w:rsidRDefault="00EA30A2" w:rsidP="00181435">
      <w:pPr>
        <w:spacing w:after="0"/>
        <w:jc w:val="center"/>
        <w:rPr>
          <w:rFonts w:cstheme="minorHAnsi"/>
          <w:b/>
        </w:rPr>
        <w:sectPr w:rsidR="00EA30A2" w:rsidRPr="00311D2C" w:rsidSect="00EA30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435" w:rsidRPr="00311D2C" w:rsidRDefault="00181435" w:rsidP="00181435">
      <w:pPr>
        <w:spacing w:after="0"/>
        <w:jc w:val="center"/>
        <w:rPr>
          <w:rFonts w:cstheme="minorHAnsi"/>
          <w:b/>
        </w:rPr>
      </w:pPr>
    </w:p>
    <w:p w:rsidR="00EA30A2" w:rsidRPr="00311D2C" w:rsidRDefault="00EA30A2" w:rsidP="00181435">
      <w:pPr>
        <w:spacing w:after="0"/>
        <w:jc w:val="center"/>
        <w:rPr>
          <w:rFonts w:cstheme="minorHAnsi"/>
          <w:b/>
        </w:rPr>
      </w:pPr>
      <w:r w:rsidRPr="00311D2C">
        <w:rPr>
          <w:rFonts w:cstheme="minorHAnsi"/>
          <w:b/>
        </w:rPr>
        <w:t>НАЗНАЧЕНИЕ ИЗДЕЛИЯ</w:t>
      </w:r>
    </w:p>
    <w:p w:rsidR="00EA30A2" w:rsidRPr="00311D2C" w:rsidRDefault="00EA30A2" w:rsidP="00181435">
      <w:pPr>
        <w:spacing w:after="0"/>
        <w:ind w:firstLine="708"/>
        <w:jc w:val="both"/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EA30A2" w:rsidRPr="00311D2C" w:rsidRDefault="00EA30A2" w:rsidP="00181435">
      <w:pPr>
        <w:spacing w:after="0" w:line="240" w:lineRule="auto"/>
        <w:rPr>
          <w:rFonts w:eastAsia="Times New Roman" w:cstheme="minorHAnsi"/>
          <w:lang w:eastAsia="ru-RU"/>
        </w:rPr>
      </w:pPr>
      <w:r w:rsidRPr="00311D2C">
        <w:rPr>
          <w:rFonts w:eastAsia="Times New Roman" w:cstheme="minorHAnsi"/>
          <w:lang w:eastAsia="ru-RU"/>
        </w:rPr>
        <w:t>Балансир с винтовым механизмом TRF2750 предназначен для вывешивания ДВС</w:t>
      </w:r>
      <w:r w:rsidR="00120013" w:rsidRPr="00311D2C">
        <w:rPr>
          <w:rFonts w:eastAsia="Times New Roman" w:cstheme="minorHAnsi"/>
          <w:lang w:eastAsia="ru-RU"/>
        </w:rPr>
        <w:t>.</w:t>
      </w:r>
    </w:p>
    <w:p w:rsidR="00EA30A2" w:rsidRPr="00311D2C" w:rsidRDefault="00EA30A2" w:rsidP="00181435">
      <w:pPr>
        <w:spacing w:after="0" w:line="240" w:lineRule="auto"/>
        <w:rPr>
          <w:rFonts w:eastAsia="Times New Roman" w:cstheme="minorHAnsi"/>
          <w:lang w:eastAsia="ru-RU"/>
        </w:rPr>
      </w:pPr>
      <w:r w:rsidRPr="00311D2C">
        <w:rPr>
          <w:rFonts w:eastAsia="Times New Roman" w:cstheme="minorHAnsi"/>
          <w:lang w:eastAsia="ru-RU"/>
        </w:rPr>
        <w:t>Максимальная грузоподъемность 680 кг.</w:t>
      </w:r>
    </w:p>
    <w:p w:rsidR="00EA30A2" w:rsidRPr="00311D2C" w:rsidRDefault="00EA30A2" w:rsidP="00181435">
      <w:pPr>
        <w:spacing w:after="0"/>
        <w:rPr>
          <w:rFonts w:eastAsia="Times New Roman" w:cstheme="minorHAnsi"/>
          <w:lang w:eastAsia="ru-RU"/>
        </w:rPr>
      </w:pPr>
    </w:p>
    <w:p w:rsidR="00EA30A2" w:rsidRPr="00311D2C" w:rsidRDefault="00CB5059" w:rsidP="00181435">
      <w:pPr>
        <w:spacing w:after="0"/>
        <w:rPr>
          <w:rFonts w:eastAsia="Times New Roman" w:cstheme="minorHAnsi"/>
          <w:lang w:val="en-US" w:eastAsia="ru-RU"/>
        </w:rPr>
        <w:sectPr w:rsidR="00EA30A2" w:rsidRPr="00311D2C" w:rsidSect="00EA30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B5059">
        <w:rPr>
          <w:rFonts w:eastAsia="Times New Roman" w:cstheme="minorHAnsi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24.5pt">
            <v:imagedata r:id="rId4" o:title="tempsnip"/>
          </v:shape>
        </w:pict>
      </w:r>
    </w:p>
    <w:p w:rsidR="00EA30A2" w:rsidRPr="00311D2C" w:rsidRDefault="00EA30A2" w:rsidP="00181435">
      <w:pPr>
        <w:spacing w:after="0"/>
        <w:jc w:val="center"/>
        <w:rPr>
          <w:rFonts w:cstheme="minorHAnsi"/>
          <w:b/>
          <w:lang w:val="en-US"/>
        </w:rPr>
      </w:pPr>
    </w:p>
    <w:p w:rsidR="00181435" w:rsidRDefault="00181435" w:rsidP="00181435">
      <w:pPr>
        <w:spacing w:after="0"/>
        <w:jc w:val="center"/>
        <w:rPr>
          <w:b/>
        </w:rPr>
      </w:pPr>
      <w:r w:rsidRPr="00181435">
        <w:rPr>
          <w:b/>
        </w:rPr>
        <w:t>Описание</w:t>
      </w:r>
    </w:p>
    <w:p w:rsidR="00181435" w:rsidRPr="00181435" w:rsidRDefault="00181435" w:rsidP="00181435">
      <w:pPr>
        <w:spacing w:after="0"/>
        <w:jc w:val="center"/>
        <w:rPr>
          <w:b/>
        </w:rPr>
      </w:pPr>
    </w:p>
    <w:p w:rsidR="00181435" w:rsidRDefault="00181435" w:rsidP="00181435">
      <w:pPr>
        <w:spacing w:after="0"/>
      </w:pPr>
      <w:r>
        <w:t>Поддержка  для  двигателя  используется  как  подвесной  подъемный  механизм  между  грузоподъемной  лебедкой  и  неравномерными  по  тяжести  грузами,  такими  как  автомобильный  двигатель  с  коробкой  передач  в  сборе.  Данное  устройство  позволяет  добиться  максимальной  эффективности  в  работе  с  разным  оборудованием  в  поднятом  положении,  позволяя  оператору  поднимать  грузы  со  смещенным центром  тяжести и  отрегулировать угол  стрелы  поддержки для  двигателя.</w:t>
      </w:r>
    </w:p>
    <w:p w:rsidR="00181435" w:rsidRDefault="00181435" w:rsidP="00181435">
      <w:pPr>
        <w:spacing w:after="0"/>
        <w:jc w:val="center"/>
      </w:pPr>
    </w:p>
    <w:p w:rsidR="00181435" w:rsidRDefault="00181435" w:rsidP="00181435">
      <w:pPr>
        <w:spacing w:after="0"/>
        <w:jc w:val="center"/>
        <w:rPr>
          <w:b/>
        </w:rPr>
      </w:pPr>
      <w:r w:rsidRPr="00181435">
        <w:rPr>
          <w:b/>
        </w:rPr>
        <w:t>   Ответственность владельца /пользователя</w:t>
      </w:r>
    </w:p>
    <w:p w:rsidR="00181435" w:rsidRPr="00181435" w:rsidRDefault="00181435" w:rsidP="00181435">
      <w:pPr>
        <w:spacing w:after="0"/>
        <w:jc w:val="center"/>
        <w:rPr>
          <w:b/>
        </w:rPr>
      </w:pPr>
    </w:p>
    <w:p w:rsidR="00181435" w:rsidRDefault="00181435" w:rsidP="00181435">
      <w:pPr>
        <w:spacing w:after="0"/>
      </w:pPr>
      <w:r>
        <w:t xml:space="preserve">Перед  началом  работ  владелец  или  пользователь  должны  внимательно  ознакомиться  с  инструкцией  и  предупреждениями  по  технике  безопасности.    К  работе  с  оборудованием  допускается  только квалифицированный, компетентный,  обученный  персонал,  ознакомленный  с  инструкцией  по  технике  безопасности,  а  также  ознакомленный  с  соответствующими  требованиями, необходимыми при проведении сервисных работ с транспортными средствами и  их компонентами.    </w:t>
      </w:r>
    </w:p>
    <w:p w:rsidR="00181435" w:rsidRDefault="00181435" w:rsidP="00181435">
      <w:pPr>
        <w:spacing w:after="0"/>
      </w:pPr>
      <w:r>
        <w:t>Особое  внимание  должно  быть  уделено  предупреждающей  информации.  Она  должна  быть  хорошо  понята.    Убедитесь,  что  оператор,  работающий  на  оборудовании,  хорошо  понимает  требования инструкции и предупреждающих знаков.   Владелец и/или собственник должны вовремя проводить осмотр и профилактику оборудования. Следить  за  состоянием  предупреждающих  наклеек  и  инструкции.  Они  должны  быть  хорошо  читаемы  и  быть  в  полном  составе.  При  необходимости  замены  частей  инструкции  и  наклеек  можно обратиться к фирме </w:t>
      </w:r>
      <w:proofErr w:type="spellStart"/>
      <w:r>
        <w:t>дистрибьютеру</w:t>
      </w:r>
      <w:proofErr w:type="spellEnd"/>
      <w:r>
        <w:t xml:space="preserve">.   </w:t>
      </w:r>
    </w:p>
    <w:p w:rsidR="00181435" w:rsidRDefault="00181435" w:rsidP="00181435">
      <w:pPr>
        <w:spacing w:after="0"/>
      </w:pPr>
    </w:p>
    <w:p w:rsidR="00181435" w:rsidRDefault="00181435" w:rsidP="00181435">
      <w:pPr>
        <w:spacing w:after="0"/>
        <w:jc w:val="center"/>
        <w:rPr>
          <w:b/>
        </w:rPr>
      </w:pPr>
      <w:r w:rsidRPr="00181435">
        <w:rPr>
          <w:b/>
        </w:rPr>
        <w:t>Осмотр</w:t>
      </w:r>
    </w:p>
    <w:p w:rsidR="00181435" w:rsidRPr="00181435" w:rsidRDefault="00181435" w:rsidP="00181435">
      <w:pPr>
        <w:spacing w:after="0"/>
        <w:jc w:val="center"/>
        <w:rPr>
          <w:b/>
        </w:rPr>
      </w:pPr>
    </w:p>
    <w:p w:rsidR="00181435" w:rsidRDefault="00181435" w:rsidP="00181435">
      <w:pPr>
        <w:spacing w:after="0"/>
      </w:pPr>
      <w:r>
        <w:t xml:space="preserve">Необходимо  проверять  оборудование  каждый  раз  перед  началом  работ  на  повреждения, прочность  контактов  и  полную  укомплектованность.  При  поломке  оборудования,  по  причине  </w:t>
      </w:r>
      <w:proofErr w:type="gramStart"/>
      <w:r>
        <w:t>поднятия</w:t>
      </w:r>
      <w:proofErr w:type="gramEnd"/>
      <w:r>
        <w:t>  не  предусмотренного  инструкцией  груза  или  случайного  столкновения,  к  ремонту  оборудования  допускаются  только  уполномоченные  производителем  специалисты.  При  любом  повреждении,  износе  или  нарушении  нормальной  работы  ЗАПРЕЩАЕТСЯ  ИСПО</w:t>
      </w:r>
      <w:r w:rsidR="00EF57AF">
        <w:t>ЛЬЗОВАТЬ </w:t>
      </w:r>
      <w:r>
        <w:t>ОБОРУДОВАНИЕ до тех пор, пока будут устранены неполадки уполномоченными производителем  специалистами,  будут  заменены  все  поврежденные  детали  и  восстановлены  на  своих  местах  предупреждающие наклейки. </w:t>
      </w:r>
    </w:p>
    <w:p w:rsidR="00181435" w:rsidRDefault="00181435" w:rsidP="00181435">
      <w:pPr>
        <w:spacing w:after="0"/>
      </w:pPr>
    </w:p>
    <w:p w:rsidR="00181435" w:rsidRDefault="00181435" w:rsidP="00181435">
      <w:pPr>
        <w:spacing w:after="0"/>
        <w:jc w:val="center"/>
        <w:rPr>
          <w:b/>
        </w:rPr>
      </w:pPr>
      <w:r w:rsidRPr="00181435">
        <w:rPr>
          <w:b/>
        </w:rPr>
        <w:t>ПРЕДУПРЕЖДЕНИЕ</w:t>
      </w:r>
    </w:p>
    <w:p w:rsidR="00181435" w:rsidRPr="00181435" w:rsidRDefault="00181435" w:rsidP="00181435">
      <w:pPr>
        <w:spacing w:after="0"/>
        <w:jc w:val="center"/>
        <w:rPr>
          <w:b/>
        </w:rPr>
      </w:pPr>
    </w:p>
    <w:p w:rsidR="00181435" w:rsidRDefault="00181435" w:rsidP="00181435">
      <w:pPr>
        <w:spacing w:after="0"/>
      </w:pPr>
      <w:r>
        <w:sym w:font="Symbol" w:char="F0B7"/>
      </w:r>
      <w:r>
        <w:t xml:space="preserve"> Максимальная грузоподъемность 675 кг. </w:t>
      </w:r>
    </w:p>
    <w:p w:rsidR="00181435" w:rsidRDefault="00181435" w:rsidP="00181435">
      <w:pPr>
        <w:spacing w:after="0"/>
      </w:pPr>
      <w:r>
        <w:sym w:font="Symbol" w:char="F0B7"/>
      </w:r>
      <w:r>
        <w:t xml:space="preserve"> Перед  началом  подъема  убедитесь,  что  все  болты  на  поднимающей  стреле  крепко  затянуты и что груз надежно зафиксирован на фиксаторах.</w:t>
      </w:r>
    </w:p>
    <w:p w:rsidR="00181435" w:rsidRDefault="00181435" w:rsidP="00181435">
      <w:pPr>
        <w:spacing w:after="0"/>
      </w:pPr>
      <w:r>
        <w:sym w:font="Symbol" w:char="F0B7"/>
      </w:r>
      <w:r>
        <w:t xml:space="preserve"> Запрещено находиться под поднятым грузом. </w:t>
      </w:r>
    </w:p>
    <w:p w:rsidR="00181435" w:rsidRDefault="00181435" w:rsidP="00181435">
      <w:pPr>
        <w:spacing w:after="0"/>
      </w:pPr>
    </w:p>
    <w:p w:rsidR="00181435" w:rsidRDefault="00181435" w:rsidP="00181435">
      <w:pPr>
        <w:spacing w:after="0"/>
        <w:rPr>
          <w:b/>
        </w:rPr>
      </w:pPr>
      <w:r w:rsidRPr="00181435">
        <w:rPr>
          <w:b/>
        </w:rPr>
        <w:t>Несоблюдение  инструкций  и  требований  по  технике  по  безопасности  может  стать  причиной  физического ущерба и даже смерти.   </w:t>
      </w:r>
    </w:p>
    <w:p w:rsidR="00181435" w:rsidRPr="00181435" w:rsidRDefault="00181435" w:rsidP="00181435">
      <w:pPr>
        <w:spacing w:after="0"/>
        <w:rPr>
          <w:b/>
        </w:rPr>
      </w:pPr>
      <w:r w:rsidRPr="00181435">
        <w:rPr>
          <w:b/>
        </w:rPr>
        <w:t xml:space="preserve"> </w:t>
      </w:r>
    </w:p>
    <w:p w:rsidR="00181435" w:rsidRDefault="00181435" w:rsidP="00181435">
      <w:pPr>
        <w:spacing w:after="0"/>
        <w:rPr>
          <w:b/>
        </w:rPr>
      </w:pPr>
      <w:r w:rsidRPr="00181435">
        <w:rPr>
          <w:b/>
        </w:rPr>
        <w:t xml:space="preserve">Внимательно ознакомьтесь с инструкцией.    </w:t>
      </w:r>
    </w:p>
    <w:p w:rsidR="00181435" w:rsidRPr="00181435" w:rsidRDefault="00181435" w:rsidP="00181435">
      <w:pPr>
        <w:spacing w:after="0"/>
        <w:rPr>
          <w:b/>
        </w:rPr>
      </w:pPr>
    </w:p>
    <w:p w:rsidR="00181435" w:rsidRDefault="00181435" w:rsidP="00181435">
      <w:pPr>
        <w:spacing w:after="0"/>
        <w:jc w:val="center"/>
      </w:pPr>
      <w:r w:rsidRPr="00181435">
        <w:rPr>
          <w:b/>
        </w:rPr>
        <w:t>Инструкция по эксплуатации</w:t>
      </w:r>
      <w:r>
        <w:t xml:space="preserve">  </w:t>
      </w:r>
    </w:p>
    <w:p w:rsidR="00181435" w:rsidRDefault="00181435" w:rsidP="00181435">
      <w:pPr>
        <w:spacing w:after="0"/>
        <w:jc w:val="center"/>
      </w:pPr>
    </w:p>
    <w:p w:rsidR="00181435" w:rsidRDefault="00181435" w:rsidP="00181435">
      <w:pPr>
        <w:spacing w:after="0"/>
      </w:pPr>
      <w:r>
        <w:t xml:space="preserve">Чтобы снять мотор и коробку передач с автомобиля или грузовика, сначала отсоедините коробку  передач  и  снимите  установочные  болты.  Прикрепите  поддержку  для  двигателя  к  крюку  подъемной лебедки. Прикрепите Г‐образные соединительные детали на конце каждой из четырех  цепей (выберите одно из двух отверстий) к болтам головки двигателя – две впереди с двух сторон  и две сзади с двух сторон. Используя подъемный механизм, приподнимите цепь, чтобы убрать ее  провисание.    Поднимите  на  несколько  сантиметров  и  проверьте  выравнивание  груза.  Чтобы  добиться  выравнивания  углов  для  балансировки  груза,  отрегулируйте  положение  двигающейся  опоры  в  стреле,  повернув  шестигранную  регулировочную  гайку  на  конце  червячного  вала  при  помощи  рукоятки  с  трещоткой.  Осторожно  приподнимите  двигатель  и  коробку  передач. Поворачивая  рычаг  в  одну  сторону  или  в  другую,  наклоните  двигатель  и  коробку  передач  так, чтобы  можно  было  снять  их.  Повторите  описанные  выше  шаги,  чтобы  установить  отремонтированный  двигатель  и  коробку  передач  на место. Для  </w:t>
      </w:r>
      <w:proofErr w:type="gramStart"/>
      <w:r>
        <w:t>данного</w:t>
      </w:r>
      <w:proofErr w:type="gramEnd"/>
      <w:r>
        <w:t>  и  других видов  грузов  убедитесь,  что  все  соединительные  детали  прочно  и  надежно  зафиксированы  и  только  потом  приступайте к подъему.  </w:t>
      </w:r>
    </w:p>
    <w:p w:rsidR="00181435" w:rsidRDefault="00181435" w:rsidP="00181435">
      <w:pPr>
        <w:spacing w:after="0"/>
      </w:pPr>
      <w:r>
        <w:t xml:space="preserve"> </w:t>
      </w:r>
    </w:p>
    <w:p w:rsidR="00181435" w:rsidRDefault="00181435" w:rsidP="00181435">
      <w:pPr>
        <w:spacing w:after="0"/>
      </w:pPr>
      <w:r w:rsidRPr="00181435">
        <w:rPr>
          <w:b/>
        </w:rPr>
        <w:t>Следуйте описанным ниже инструкциям, чтобы избежать несчастных случаев, связанных с  физическим  ущербом  и  поломкой  оборудования.    Никогда  не  используйте  поддержку  для  двигателя с подъемной лебедкой с грузоподъемностью менее 1 тонны.</w:t>
      </w:r>
      <w:r>
        <w:t xml:space="preserve"> </w:t>
      </w:r>
    </w:p>
    <w:p w:rsidR="00181435" w:rsidRDefault="00181435" w:rsidP="00181435">
      <w:pPr>
        <w:spacing w:after="0"/>
        <w:jc w:val="center"/>
      </w:pPr>
    </w:p>
    <w:p w:rsidR="00181435" w:rsidRDefault="00181435" w:rsidP="00181435">
      <w:pPr>
        <w:spacing w:after="0"/>
        <w:jc w:val="center"/>
        <w:rPr>
          <w:b/>
        </w:rPr>
      </w:pPr>
      <w:r w:rsidRPr="00181435">
        <w:rPr>
          <w:b/>
        </w:rPr>
        <w:t>Оператор всегда должен:</w:t>
      </w:r>
    </w:p>
    <w:p w:rsidR="00181435" w:rsidRPr="00181435" w:rsidRDefault="00181435" w:rsidP="00181435">
      <w:pPr>
        <w:spacing w:after="0"/>
        <w:jc w:val="center"/>
        <w:rPr>
          <w:b/>
        </w:rPr>
      </w:pPr>
    </w:p>
    <w:p w:rsidR="00181435" w:rsidRDefault="00181435" w:rsidP="00181435">
      <w:pPr>
        <w:spacing w:after="0"/>
      </w:pPr>
      <w:r>
        <w:t xml:space="preserve">1. Ознакомиться  с  техникой  по  безопасности,  требованиями  по  эксплуатации  и  предупреждающими знаками. </w:t>
      </w:r>
    </w:p>
    <w:p w:rsidR="00181435" w:rsidRDefault="00181435" w:rsidP="00181435">
      <w:pPr>
        <w:spacing w:after="0"/>
      </w:pPr>
      <w:r>
        <w:t xml:space="preserve">2. Убедиться, что все соединительные детали надежно и прочно затянуты. </w:t>
      </w:r>
    </w:p>
    <w:p w:rsidR="00181435" w:rsidRDefault="00181435" w:rsidP="00181435">
      <w:pPr>
        <w:spacing w:after="0"/>
      </w:pPr>
      <w:r>
        <w:t>3. Сохранять устойчивость при работе с подъемным механизмом.</w:t>
      </w:r>
    </w:p>
    <w:p w:rsidR="00181435" w:rsidRDefault="00181435" w:rsidP="00181435">
      <w:pPr>
        <w:spacing w:after="0"/>
      </w:pPr>
      <w:r>
        <w:t xml:space="preserve">4. Убедиться, что ничто не препятствует движению груза. </w:t>
      </w:r>
    </w:p>
    <w:p w:rsidR="00181435" w:rsidRDefault="00181435" w:rsidP="00181435">
      <w:pPr>
        <w:spacing w:after="0"/>
      </w:pPr>
      <w:r>
        <w:t>5. Убрать  провисание  цепи,  проверить  баланс  груза, поднять  на  несколько  сантиметров  и  проверить удерживающую способность </w:t>
      </w:r>
      <w:proofErr w:type="gramStart"/>
      <w:r>
        <w:t>оборудования</w:t>
      </w:r>
      <w:proofErr w:type="gramEnd"/>
      <w:r>
        <w:t> перед тем как продолжить подъем. </w:t>
      </w:r>
    </w:p>
    <w:p w:rsidR="00181435" w:rsidRDefault="00181435" w:rsidP="00181435">
      <w:pPr>
        <w:spacing w:after="0"/>
      </w:pPr>
      <w:r>
        <w:t xml:space="preserve"> 6. Избегать раскачивания груза. </w:t>
      </w:r>
    </w:p>
    <w:p w:rsidR="00181435" w:rsidRDefault="00181435" w:rsidP="00181435">
      <w:pPr>
        <w:spacing w:after="0"/>
      </w:pPr>
      <w:r>
        <w:t xml:space="preserve">7. Убедиться, что никого нет поблизости от груза, когда он находится в подвешенном состоянии. </w:t>
      </w:r>
    </w:p>
    <w:p w:rsidR="00181435" w:rsidRDefault="00181435" w:rsidP="00181435">
      <w:pPr>
        <w:spacing w:after="0"/>
      </w:pPr>
      <w:r>
        <w:t xml:space="preserve">8. Предупредить о приближении груза. </w:t>
      </w:r>
    </w:p>
    <w:p w:rsidR="00181435" w:rsidRDefault="00181435" w:rsidP="00181435">
      <w:pPr>
        <w:spacing w:after="0"/>
      </w:pPr>
      <w:r>
        <w:lastRenderedPageBreak/>
        <w:t xml:space="preserve">9. Защитить цепи от попадания на них сварочных брызг и других загрязняющих веществ.   </w:t>
      </w:r>
    </w:p>
    <w:p w:rsidR="00181435" w:rsidRDefault="00181435" w:rsidP="00181435">
      <w:pPr>
        <w:spacing w:after="0"/>
      </w:pPr>
      <w:r>
        <w:t xml:space="preserve">10.  Немедленно  сообщать  </w:t>
      </w:r>
      <w:proofErr w:type="gramStart"/>
      <w:r>
        <w:t>старшему</w:t>
      </w:r>
      <w:proofErr w:type="gramEnd"/>
      <w:r>
        <w:t xml:space="preserve">  или  устранять  любые  нарушения  в  работе,  поломки  и  повреждения.   </w:t>
      </w:r>
    </w:p>
    <w:p w:rsidR="00181435" w:rsidRDefault="00181435" w:rsidP="00181435">
      <w:pPr>
        <w:spacing w:after="0"/>
      </w:pPr>
      <w:r>
        <w:t xml:space="preserve">11. Регулярно  осматривать  стрелу  поддержки  для  двигателя,  менять  поврежденные  или  изношенные части и соблюдать график проведения профилактики оборудования. </w:t>
      </w:r>
    </w:p>
    <w:p w:rsidR="00181435" w:rsidRDefault="00181435" w:rsidP="00181435">
      <w:pPr>
        <w:spacing w:after="0"/>
      </w:pPr>
    </w:p>
    <w:p w:rsidR="00181435" w:rsidRPr="00181435" w:rsidRDefault="00181435" w:rsidP="00181435">
      <w:pPr>
        <w:spacing w:after="0"/>
        <w:jc w:val="center"/>
        <w:rPr>
          <w:b/>
        </w:rPr>
      </w:pPr>
      <w:r w:rsidRPr="00181435">
        <w:rPr>
          <w:b/>
        </w:rPr>
        <w:t>Оператор должен:</w:t>
      </w:r>
    </w:p>
    <w:p w:rsidR="00181435" w:rsidRDefault="00181435" w:rsidP="00181435">
      <w:pPr>
        <w:spacing w:after="0"/>
      </w:pPr>
    </w:p>
    <w:p w:rsidR="00181435" w:rsidRDefault="00181435" w:rsidP="00181435">
      <w:pPr>
        <w:spacing w:after="0"/>
      </w:pPr>
      <w:r>
        <w:t xml:space="preserve">1. Не превышать грузоподъемность оборудования. </w:t>
      </w:r>
    </w:p>
    <w:p w:rsidR="00181435" w:rsidRDefault="00181435" w:rsidP="00181435">
      <w:pPr>
        <w:spacing w:after="0"/>
      </w:pPr>
      <w:r>
        <w:t>2. Не использовать поврежденный подъемный механизм или при обнаружении помех в работе.  </w:t>
      </w:r>
    </w:p>
    <w:p w:rsidR="00181435" w:rsidRDefault="00181435" w:rsidP="00181435">
      <w:pPr>
        <w:spacing w:after="0"/>
      </w:pPr>
      <w:r>
        <w:t xml:space="preserve">3. Никогда не использовать стрелу с перекрученной, поврежденной или изношенной цепью. </w:t>
      </w:r>
    </w:p>
    <w:p w:rsidR="00181435" w:rsidRDefault="00181435" w:rsidP="00181435">
      <w:pPr>
        <w:spacing w:after="0"/>
      </w:pPr>
      <w:r>
        <w:t xml:space="preserve">4. Никогда  не  поднимать  груз,  если  хоть  один  из  фиксаторов  на  цепях  препятствует  балансировке груза. </w:t>
      </w:r>
    </w:p>
    <w:p w:rsidR="00181435" w:rsidRDefault="00181435" w:rsidP="00181435">
      <w:pPr>
        <w:spacing w:after="0"/>
      </w:pPr>
      <w:r>
        <w:t xml:space="preserve">5. Не оставлять подъемный механизм в процессе работы без присмотра. </w:t>
      </w:r>
    </w:p>
    <w:p w:rsidR="00181435" w:rsidRDefault="00181435" w:rsidP="00181435">
      <w:pPr>
        <w:spacing w:after="0"/>
      </w:pPr>
      <w:r>
        <w:t>6. Не использовать стрелу для подъема, поддержки и </w:t>
      </w:r>
      <w:proofErr w:type="gramStart"/>
      <w:r>
        <w:t>перемещении</w:t>
      </w:r>
      <w:proofErr w:type="gramEnd"/>
      <w:r>
        <w:t xml:space="preserve"> людей. </w:t>
      </w:r>
    </w:p>
    <w:p w:rsidR="00181435" w:rsidRDefault="00181435" w:rsidP="00181435">
      <w:pPr>
        <w:spacing w:after="0"/>
      </w:pPr>
      <w:r>
        <w:t xml:space="preserve">7. Никогда не поднимать груз над людьми! </w:t>
      </w:r>
    </w:p>
    <w:p w:rsidR="00181435" w:rsidRDefault="00181435" w:rsidP="00181435">
      <w:pPr>
        <w:spacing w:after="0"/>
      </w:pPr>
      <w:r>
        <w:t xml:space="preserve">8. Не оставлять поднятый груз без присмотра. </w:t>
      </w:r>
    </w:p>
    <w:p w:rsidR="00181435" w:rsidRDefault="00181435" w:rsidP="00181435">
      <w:pPr>
        <w:spacing w:after="0"/>
      </w:pPr>
      <w:r>
        <w:t xml:space="preserve">9. Защищать подъемный механизм от столкновения с любыми препятствиями. </w:t>
      </w:r>
    </w:p>
    <w:p w:rsidR="00181435" w:rsidRDefault="00181435" w:rsidP="00181435">
      <w:pPr>
        <w:spacing w:after="0"/>
      </w:pPr>
      <w:r>
        <w:t xml:space="preserve">10. Не позволять использовать цепи или контактные соединения как заземление для сварочных  работ. </w:t>
      </w:r>
    </w:p>
    <w:p w:rsidR="00181435" w:rsidRDefault="00181435" w:rsidP="00181435">
      <w:pPr>
        <w:spacing w:after="0"/>
      </w:pPr>
      <w:r>
        <w:t xml:space="preserve">11. Не  позволять  использовать  цепи  или  контактные  соединения  как  цепь  замыкания  для  сварочных работ. </w:t>
      </w:r>
    </w:p>
    <w:p w:rsidR="00181435" w:rsidRDefault="00181435" w:rsidP="00181435">
      <w:pPr>
        <w:spacing w:after="0"/>
      </w:pPr>
      <w:r>
        <w:t>12. Никогда не пытаться растянуть цепь или отремонтировать поврежденную цепь.</w:t>
      </w:r>
    </w:p>
    <w:p w:rsidR="00181435" w:rsidRDefault="00181435" w:rsidP="00181435">
      <w:pPr>
        <w:spacing w:after="0"/>
      </w:pPr>
    </w:p>
    <w:p w:rsidR="00EA30A2" w:rsidRDefault="00EA30A2" w:rsidP="00181435">
      <w:pPr>
        <w:spacing w:after="0"/>
        <w:jc w:val="center"/>
        <w:rPr>
          <w:rFonts w:cstheme="minorHAnsi"/>
          <w:b/>
        </w:rPr>
      </w:pPr>
      <w:r w:rsidRPr="00311D2C">
        <w:rPr>
          <w:rFonts w:cstheme="minorHAnsi"/>
          <w:b/>
        </w:rPr>
        <w:t>У</w:t>
      </w:r>
      <w:r w:rsidR="00181435">
        <w:rPr>
          <w:rFonts w:cstheme="minorHAnsi"/>
          <w:b/>
        </w:rPr>
        <w:t>тилизация</w:t>
      </w:r>
    </w:p>
    <w:p w:rsidR="00181435" w:rsidRPr="00311D2C" w:rsidRDefault="00181435" w:rsidP="00181435">
      <w:pPr>
        <w:spacing w:after="0"/>
        <w:jc w:val="center"/>
        <w:rPr>
          <w:rFonts w:cstheme="minorHAnsi"/>
          <w:b/>
        </w:rPr>
      </w:pPr>
    </w:p>
    <w:p w:rsidR="00EA30A2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>При списании оборудования после использования оно подлежит демонтажу и утилизации. Утилизацию необходимо проводить в соответствие с требованиями законодательства, действующего в стране эксплуатации оборудования.</w:t>
      </w:r>
    </w:p>
    <w:p w:rsidR="00181435" w:rsidRDefault="00181435" w:rsidP="00181435">
      <w:pPr>
        <w:spacing w:after="0"/>
        <w:jc w:val="both"/>
        <w:rPr>
          <w:rFonts w:cstheme="minorHAnsi"/>
        </w:rPr>
      </w:pPr>
    </w:p>
    <w:p w:rsidR="00181435" w:rsidRDefault="00181435" w:rsidP="00181435">
      <w:pPr>
        <w:spacing w:after="0"/>
        <w:jc w:val="center"/>
        <w:rPr>
          <w:rFonts w:cstheme="minorHAnsi"/>
          <w:b/>
        </w:rPr>
      </w:pPr>
      <w:r w:rsidRPr="00181435">
        <w:rPr>
          <w:rFonts w:cstheme="minorHAnsi"/>
          <w:b/>
        </w:rPr>
        <w:t>Гарантийные обязательства</w:t>
      </w:r>
    </w:p>
    <w:p w:rsidR="00181435" w:rsidRPr="00181435" w:rsidRDefault="00181435" w:rsidP="00181435">
      <w:pPr>
        <w:spacing w:after="0"/>
        <w:jc w:val="center"/>
        <w:rPr>
          <w:rFonts w:cstheme="minorHAnsi"/>
          <w:b/>
        </w:rPr>
      </w:pP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 xml:space="preserve">Гарантия распространяется на заводские дефекты, которые делают невозможным дальнейшее использование оборудования и вызваны дефектами изготовителя, материала или конструкции. </w:t>
      </w: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>Гарантия не распространяется на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конструкцию лиц, не имеющих специального разрешения на проведение ремонтных работ.</w:t>
      </w: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 xml:space="preserve">Срок хранения - не ограничен. Срок службы изделия – 3 года </w:t>
      </w:r>
      <w:proofErr w:type="gramStart"/>
      <w:r w:rsidRPr="00311D2C">
        <w:rPr>
          <w:rFonts w:cstheme="minorHAnsi"/>
        </w:rPr>
        <w:t>с даты ввода</w:t>
      </w:r>
      <w:proofErr w:type="gramEnd"/>
      <w:r w:rsidRPr="00311D2C">
        <w:rPr>
          <w:rFonts w:cstheme="minorHAnsi"/>
        </w:rPr>
        <w:t xml:space="preserve"> в эксплуатацию.</w:t>
      </w: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>Дата изготовления указывается на изделии или его индивидуальной упаковке.</w:t>
      </w: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>Гарантия – 12 месяцев со дня продажи.</w:t>
      </w:r>
    </w:p>
    <w:p w:rsidR="00EA30A2" w:rsidRPr="00311D2C" w:rsidRDefault="00EA30A2" w:rsidP="00181435">
      <w:pPr>
        <w:spacing w:after="0"/>
        <w:ind w:firstLine="708"/>
        <w:rPr>
          <w:rFonts w:cstheme="minorHAnsi"/>
        </w:rPr>
      </w:pPr>
    </w:p>
    <w:p w:rsidR="00EA30A2" w:rsidRPr="00311D2C" w:rsidRDefault="00EA30A2" w:rsidP="00181435">
      <w:pPr>
        <w:spacing w:after="0"/>
        <w:rPr>
          <w:rFonts w:cstheme="minorHAnsi"/>
        </w:rPr>
      </w:pPr>
      <w:r w:rsidRPr="00311D2C">
        <w:rPr>
          <w:rFonts w:cstheme="minorHAnsi"/>
        </w:rPr>
        <w:t>Официальный представитель и гарантийная мастерская находятся по адресу:</w:t>
      </w:r>
    </w:p>
    <w:p w:rsidR="00EA30A2" w:rsidRPr="00311D2C" w:rsidRDefault="00EA30A2" w:rsidP="00181435">
      <w:pPr>
        <w:spacing w:after="0"/>
        <w:rPr>
          <w:rFonts w:cstheme="minorHAnsi"/>
        </w:rPr>
      </w:pPr>
      <w:r w:rsidRPr="00311D2C">
        <w:rPr>
          <w:rFonts w:cstheme="minorHAnsi"/>
        </w:rPr>
        <w:t>Частное предприятие «ТД «</w:t>
      </w:r>
      <w:proofErr w:type="spellStart"/>
      <w:r w:rsidRPr="00311D2C">
        <w:rPr>
          <w:rFonts w:cstheme="minorHAnsi"/>
        </w:rPr>
        <w:t>Форсаж</w:t>
      </w:r>
      <w:proofErr w:type="spellEnd"/>
      <w:r w:rsidRPr="00311D2C">
        <w:rPr>
          <w:rFonts w:cstheme="minorHAnsi"/>
        </w:rPr>
        <w:t xml:space="preserve"> Инструмент Бел». Тел. (017) 504-89-40, (029) 692-94-21</w:t>
      </w: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proofErr w:type="gramStart"/>
      <w:r w:rsidRPr="00311D2C">
        <w:rPr>
          <w:rFonts w:cstheme="minorHAnsi"/>
        </w:rPr>
        <w:lastRenderedPageBreak/>
        <w:t>Минская</w:t>
      </w:r>
      <w:proofErr w:type="gramEnd"/>
      <w:r w:rsidRPr="00311D2C">
        <w:rPr>
          <w:rFonts w:cstheme="minorHAnsi"/>
        </w:rPr>
        <w:t xml:space="preserve"> обл., Минский р-н, </w:t>
      </w:r>
      <w:proofErr w:type="spellStart"/>
      <w:r w:rsidRPr="00311D2C">
        <w:rPr>
          <w:rFonts w:cstheme="minorHAnsi"/>
        </w:rPr>
        <w:t>Папернянский</w:t>
      </w:r>
      <w:proofErr w:type="spellEnd"/>
      <w:r w:rsidRPr="00311D2C">
        <w:rPr>
          <w:rFonts w:cstheme="minorHAnsi"/>
        </w:rPr>
        <w:t xml:space="preserve"> с/с, р-н деревни </w:t>
      </w:r>
      <w:proofErr w:type="spellStart"/>
      <w:r w:rsidRPr="00311D2C">
        <w:rPr>
          <w:rFonts w:cstheme="minorHAnsi"/>
        </w:rPr>
        <w:t>Дубовляны</w:t>
      </w:r>
      <w:proofErr w:type="spellEnd"/>
      <w:r w:rsidRPr="00311D2C">
        <w:rPr>
          <w:rFonts w:cstheme="minorHAnsi"/>
        </w:rPr>
        <w:t>, д.43, кабинет 22</w:t>
      </w: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</w:p>
    <w:p w:rsidR="00EA30A2" w:rsidRPr="00181435" w:rsidRDefault="00EA30A2" w:rsidP="00181435">
      <w:pPr>
        <w:spacing w:after="0"/>
        <w:rPr>
          <w:rFonts w:eastAsia="Times New Roman" w:cstheme="minorHAnsi"/>
          <w:b/>
          <w:bCs/>
          <w:color w:val="000000"/>
          <w:lang w:eastAsia="ru-RU"/>
        </w:rPr>
      </w:pPr>
      <w:r w:rsidRPr="00311D2C">
        <w:rPr>
          <w:rFonts w:cstheme="minorHAnsi"/>
        </w:rPr>
        <w:t xml:space="preserve">Модельный ряд: </w:t>
      </w:r>
      <w:r w:rsidR="00782493" w:rsidRPr="00311D2C">
        <w:rPr>
          <w:rFonts w:eastAsia="Times New Roman" w:cstheme="minorHAnsi"/>
          <w:bCs/>
          <w:color w:val="000000"/>
          <w:lang w:eastAsia="ru-RU"/>
        </w:rPr>
        <w:t>TRF2750</w:t>
      </w: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 xml:space="preserve">Торговые марки: □ </w:t>
      </w:r>
      <w:proofErr w:type="spellStart"/>
      <w:r w:rsidRPr="00311D2C">
        <w:rPr>
          <w:rFonts w:cstheme="minorHAnsi"/>
          <w:lang w:val="en-US"/>
        </w:rPr>
        <w:t>Forsage</w:t>
      </w:r>
      <w:proofErr w:type="spellEnd"/>
      <w:r w:rsidRPr="00311D2C">
        <w:rPr>
          <w:rFonts w:cstheme="minorHAnsi"/>
        </w:rPr>
        <w:t xml:space="preserve"> □ </w:t>
      </w:r>
      <w:proofErr w:type="spellStart"/>
      <w:r w:rsidRPr="00311D2C">
        <w:rPr>
          <w:rFonts w:cstheme="minorHAnsi"/>
          <w:lang w:val="en-US"/>
        </w:rPr>
        <w:t>Rockforce</w:t>
      </w:r>
      <w:proofErr w:type="spellEnd"/>
    </w:p>
    <w:p w:rsidR="00EA30A2" w:rsidRPr="00311D2C" w:rsidRDefault="00EA30A2" w:rsidP="0018143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lang w:val="en-US" w:eastAsia="ru-RU"/>
        </w:rPr>
      </w:pPr>
      <w:r w:rsidRPr="00311D2C">
        <w:rPr>
          <w:rFonts w:eastAsia="Times New Roman" w:cstheme="minorHAnsi"/>
          <w:b/>
          <w:bCs/>
          <w:lang w:eastAsia="ru-RU"/>
        </w:rPr>
        <w:t>Технические характеристики</w:t>
      </w:r>
      <w:r w:rsidR="00782493" w:rsidRPr="00311D2C">
        <w:rPr>
          <w:rFonts w:eastAsia="Times New Roman" w:cstheme="minorHAnsi"/>
          <w:bCs/>
          <w:color w:val="000000"/>
          <w:lang w:eastAsia="ru-RU"/>
        </w:rPr>
        <w:t xml:space="preserve"> TRF2750</w:t>
      </w:r>
    </w:p>
    <w:p w:rsidR="00EA30A2" w:rsidRPr="00311D2C" w:rsidRDefault="00EA30A2" w:rsidP="0018143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5"/>
        <w:gridCol w:w="2810"/>
      </w:tblGrid>
      <w:tr w:rsidR="00EA30A2" w:rsidRPr="00311D2C" w:rsidTr="00782493">
        <w:tc>
          <w:tcPr>
            <w:tcW w:w="3500" w:type="pct"/>
            <w:shd w:val="clear" w:color="auto" w:fill="FFFFFF"/>
            <w:hideMark/>
          </w:tcPr>
          <w:p w:rsidR="00EA30A2" w:rsidRPr="00311D2C" w:rsidRDefault="00EA30A2" w:rsidP="00181435">
            <w:pPr>
              <w:spacing w:after="0" w:line="0" w:lineRule="atLeast"/>
              <w:rPr>
                <w:rFonts w:eastAsia="Times New Roman" w:cstheme="minorHAnsi"/>
                <w:lang w:eastAsia="ru-RU"/>
              </w:rPr>
            </w:pPr>
            <w:r w:rsidRPr="00311D2C">
              <w:rPr>
                <w:rFonts w:eastAsia="Times New Roman" w:cstheme="minorHAnsi"/>
                <w:lang w:eastAsia="ru-RU"/>
              </w:rPr>
              <w:t xml:space="preserve"> Грузоподъемность, </w:t>
            </w:r>
            <w:proofErr w:type="gramStart"/>
            <w:r w:rsidRPr="00311D2C">
              <w:rPr>
                <w:rFonts w:eastAsia="Times New Roman" w:cstheme="minorHAnsi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A30A2" w:rsidRPr="00311D2C" w:rsidRDefault="00EA30A2" w:rsidP="00181435">
            <w:pPr>
              <w:spacing w:after="0" w:line="0" w:lineRule="atLeast"/>
              <w:rPr>
                <w:rFonts w:eastAsia="Times New Roman" w:cstheme="minorHAnsi"/>
                <w:lang w:eastAsia="ru-RU"/>
              </w:rPr>
            </w:pPr>
            <w:r w:rsidRPr="00311D2C">
              <w:rPr>
                <w:rFonts w:eastAsia="Times New Roman" w:cstheme="minorHAnsi"/>
                <w:lang w:eastAsia="ru-RU"/>
              </w:rPr>
              <w:t> </w:t>
            </w:r>
            <w:r w:rsidR="00782493" w:rsidRPr="00311D2C">
              <w:rPr>
                <w:rFonts w:eastAsia="Times New Roman" w:cstheme="minorHAnsi"/>
                <w:lang w:val="en-US" w:eastAsia="ru-RU"/>
              </w:rPr>
              <w:t>68</w:t>
            </w:r>
            <w:r w:rsidRPr="00311D2C">
              <w:rPr>
                <w:rFonts w:eastAsia="Times New Roman" w:cstheme="minorHAnsi"/>
                <w:lang w:eastAsia="ru-RU"/>
              </w:rPr>
              <w:t>0</w:t>
            </w:r>
          </w:p>
        </w:tc>
      </w:tr>
      <w:tr w:rsidR="00782493" w:rsidRPr="00311D2C" w:rsidTr="00782493">
        <w:tc>
          <w:tcPr>
            <w:tcW w:w="0" w:type="auto"/>
            <w:shd w:val="clear" w:color="auto" w:fill="FFFFFF"/>
            <w:hideMark/>
          </w:tcPr>
          <w:p w:rsidR="00782493" w:rsidRPr="00311D2C" w:rsidRDefault="00782493" w:rsidP="0018143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11D2C">
              <w:rPr>
                <w:rFonts w:eastAsia="Times New Roman" w:cstheme="minorHAnsi"/>
                <w:lang w:eastAsia="ru-RU"/>
              </w:rPr>
              <w:t xml:space="preserve"> Габариты упаковки, </w:t>
            </w:r>
            <w:proofErr w:type="gramStart"/>
            <w:r w:rsidRPr="00311D2C">
              <w:rPr>
                <w:rFonts w:eastAsia="Times New Roman" w:cstheme="minorHAnsi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82493" w:rsidRPr="00311D2C" w:rsidRDefault="00782493" w:rsidP="00181435">
            <w:pPr>
              <w:spacing w:after="0" w:line="240" w:lineRule="auto"/>
              <w:rPr>
                <w:rFonts w:eastAsia="Times New Roman" w:cstheme="minorHAnsi"/>
                <w:color w:val="FF0000"/>
                <w:lang w:eastAsia="ru-RU"/>
              </w:rPr>
            </w:pPr>
            <w:r w:rsidRPr="00311D2C">
              <w:rPr>
                <w:rFonts w:eastAsia="Times New Roman" w:cstheme="minorHAnsi"/>
                <w:color w:val="FF0000"/>
                <w:lang w:eastAsia="ru-RU"/>
              </w:rPr>
              <w:t xml:space="preserve"> 1550 </w:t>
            </w:r>
            <w:proofErr w:type="spellStart"/>
            <w:r w:rsidRPr="00311D2C">
              <w:rPr>
                <w:rFonts w:eastAsia="Times New Roman" w:cstheme="minorHAnsi"/>
                <w:color w:val="FF0000"/>
                <w:lang w:eastAsia="ru-RU"/>
              </w:rPr>
              <w:t>х</w:t>
            </w:r>
            <w:proofErr w:type="spellEnd"/>
            <w:r w:rsidRPr="00311D2C">
              <w:rPr>
                <w:rFonts w:eastAsia="Times New Roman" w:cstheme="minorHAnsi"/>
                <w:color w:val="FF0000"/>
                <w:lang w:eastAsia="ru-RU"/>
              </w:rPr>
              <w:t xml:space="preserve"> 150 </w:t>
            </w:r>
            <w:proofErr w:type="spellStart"/>
            <w:r w:rsidRPr="00311D2C">
              <w:rPr>
                <w:rFonts w:eastAsia="Times New Roman" w:cstheme="minorHAnsi"/>
                <w:color w:val="FF0000"/>
                <w:lang w:eastAsia="ru-RU"/>
              </w:rPr>
              <w:t>х</w:t>
            </w:r>
            <w:proofErr w:type="spellEnd"/>
            <w:r w:rsidRPr="00311D2C">
              <w:rPr>
                <w:rFonts w:eastAsia="Times New Roman" w:cstheme="minorHAnsi"/>
                <w:color w:val="FF0000"/>
                <w:lang w:eastAsia="ru-RU"/>
              </w:rPr>
              <w:t xml:space="preserve"> 130</w:t>
            </w:r>
          </w:p>
        </w:tc>
      </w:tr>
      <w:tr w:rsidR="00782493" w:rsidRPr="00311D2C" w:rsidTr="00782493">
        <w:tc>
          <w:tcPr>
            <w:tcW w:w="0" w:type="auto"/>
            <w:shd w:val="clear" w:color="auto" w:fill="FFFFFF"/>
            <w:hideMark/>
          </w:tcPr>
          <w:p w:rsidR="00782493" w:rsidRPr="00311D2C" w:rsidRDefault="00782493" w:rsidP="0018143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11D2C">
              <w:rPr>
                <w:rFonts w:eastAsia="Times New Roman" w:cstheme="minorHAnsi"/>
                <w:lang w:eastAsia="ru-RU"/>
              </w:rPr>
              <w:t xml:space="preserve"> Масса нетто/брутто, </w:t>
            </w:r>
            <w:proofErr w:type="gramStart"/>
            <w:r w:rsidRPr="00311D2C">
              <w:rPr>
                <w:rFonts w:eastAsia="Times New Roman" w:cstheme="minorHAnsi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82493" w:rsidRPr="00311D2C" w:rsidRDefault="00782493" w:rsidP="00181435">
            <w:pPr>
              <w:spacing w:after="0" w:line="240" w:lineRule="auto"/>
              <w:rPr>
                <w:rFonts w:eastAsia="Times New Roman" w:cstheme="minorHAnsi"/>
                <w:color w:val="FF0000"/>
                <w:lang w:eastAsia="ru-RU"/>
              </w:rPr>
            </w:pPr>
            <w:r w:rsidRPr="00311D2C">
              <w:rPr>
                <w:rFonts w:eastAsia="Times New Roman" w:cstheme="minorHAnsi"/>
                <w:color w:val="FF0000"/>
                <w:lang w:eastAsia="ru-RU"/>
              </w:rPr>
              <w:t> 17/18</w:t>
            </w:r>
          </w:p>
        </w:tc>
      </w:tr>
      <w:tr w:rsidR="00782493" w:rsidRPr="00311D2C" w:rsidTr="00782493">
        <w:tc>
          <w:tcPr>
            <w:tcW w:w="0" w:type="auto"/>
            <w:shd w:val="clear" w:color="auto" w:fill="FFFFFF"/>
            <w:hideMark/>
          </w:tcPr>
          <w:p w:rsidR="00782493" w:rsidRPr="00311D2C" w:rsidRDefault="00782493" w:rsidP="0018143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82493" w:rsidRPr="00311D2C" w:rsidRDefault="00782493" w:rsidP="0018143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:rsidR="00EA30A2" w:rsidRPr="00311D2C" w:rsidRDefault="00EA30A2" w:rsidP="00181435">
      <w:pPr>
        <w:spacing w:after="0"/>
        <w:rPr>
          <w:rFonts w:cstheme="minorHAnsi"/>
        </w:rPr>
      </w:pPr>
    </w:p>
    <w:p w:rsidR="00EA30A2" w:rsidRPr="00311D2C" w:rsidRDefault="00EA30A2" w:rsidP="00181435">
      <w:pPr>
        <w:spacing w:after="0"/>
        <w:rPr>
          <w:rFonts w:cstheme="minorHAnsi"/>
          <w:lang w:val="en-US"/>
        </w:rPr>
      </w:pPr>
      <w:r w:rsidRPr="00311D2C">
        <w:rPr>
          <w:rFonts w:cstheme="minorHAnsi"/>
        </w:rPr>
        <w:t>Производитель</w:t>
      </w:r>
      <w:r w:rsidRPr="00311D2C">
        <w:rPr>
          <w:rFonts w:cstheme="minorHAnsi"/>
          <w:lang w:val="en-US"/>
        </w:rPr>
        <w:t xml:space="preserve">: </w:t>
      </w:r>
      <w:proofErr w:type="gramStart"/>
      <w:r w:rsidRPr="00311D2C">
        <w:rPr>
          <w:rFonts w:cstheme="minorHAnsi"/>
          <w:color w:val="FF0000"/>
          <w:lang w:val="en-US"/>
        </w:rPr>
        <w:t>”</w:t>
      </w:r>
      <w:proofErr w:type="spellStart"/>
      <w:r w:rsidRPr="00311D2C">
        <w:rPr>
          <w:rFonts w:cstheme="minorHAnsi"/>
          <w:color w:val="FF0000"/>
          <w:lang w:val="en-US"/>
        </w:rPr>
        <w:t>Pinghu</w:t>
      </w:r>
      <w:proofErr w:type="spellEnd"/>
      <w:r w:rsidRPr="00311D2C">
        <w:rPr>
          <w:rFonts w:cstheme="minorHAnsi"/>
          <w:color w:val="FF0000"/>
          <w:lang w:val="en-US"/>
        </w:rPr>
        <w:t xml:space="preserve"> </w:t>
      </w:r>
      <w:proofErr w:type="spellStart"/>
      <w:r w:rsidRPr="00311D2C">
        <w:rPr>
          <w:rFonts w:cstheme="minorHAnsi"/>
          <w:color w:val="FF0000"/>
          <w:lang w:val="en-US"/>
        </w:rPr>
        <w:t>Tongli</w:t>
      </w:r>
      <w:proofErr w:type="spellEnd"/>
      <w:r w:rsidRPr="00311D2C">
        <w:rPr>
          <w:rFonts w:cstheme="minorHAnsi"/>
          <w:color w:val="FF0000"/>
          <w:lang w:val="en-US"/>
        </w:rPr>
        <w:t xml:space="preserve"> Machine CO., LTD.”</w:t>
      </w:r>
      <w:proofErr w:type="gramEnd"/>
      <w:r w:rsidRPr="00311D2C">
        <w:rPr>
          <w:rFonts w:cstheme="minorHAnsi"/>
          <w:color w:val="FF0000"/>
          <w:lang w:val="en-US"/>
        </w:rPr>
        <w:t xml:space="preserve">  18 </w:t>
      </w:r>
      <w:proofErr w:type="spellStart"/>
      <w:r w:rsidRPr="00311D2C">
        <w:rPr>
          <w:rFonts w:cstheme="minorHAnsi"/>
          <w:color w:val="FF0000"/>
          <w:lang w:val="en-US"/>
        </w:rPr>
        <w:t>Shilong</w:t>
      </w:r>
      <w:proofErr w:type="spellEnd"/>
      <w:r w:rsidRPr="00311D2C">
        <w:rPr>
          <w:rFonts w:cstheme="minorHAnsi"/>
          <w:color w:val="FF0000"/>
          <w:lang w:val="en-US"/>
        </w:rPr>
        <w:t xml:space="preserve"> No.1 Road, </w:t>
      </w:r>
      <w:proofErr w:type="spellStart"/>
      <w:r w:rsidRPr="00311D2C">
        <w:rPr>
          <w:rFonts w:cstheme="minorHAnsi"/>
          <w:color w:val="FF0000"/>
          <w:lang w:val="en-US"/>
        </w:rPr>
        <w:t>Caoqiao</w:t>
      </w:r>
      <w:proofErr w:type="spellEnd"/>
      <w:r w:rsidRPr="00311D2C">
        <w:rPr>
          <w:rFonts w:cstheme="minorHAnsi"/>
          <w:color w:val="FF0000"/>
          <w:lang w:val="en-US"/>
        </w:rPr>
        <w:t xml:space="preserve"> Street, </w:t>
      </w:r>
      <w:proofErr w:type="spellStart"/>
      <w:r w:rsidRPr="00311D2C">
        <w:rPr>
          <w:rFonts w:cstheme="minorHAnsi"/>
          <w:color w:val="FF0000"/>
          <w:lang w:val="en-US"/>
        </w:rPr>
        <w:t>Pinghu</w:t>
      </w:r>
      <w:proofErr w:type="spellEnd"/>
      <w:r w:rsidRPr="00311D2C">
        <w:rPr>
          <w:rFonts w:cstheme="minorHAnsi"/>
          <w:color w:val="FF0000"/>
          <w:lang w:val="en-US"/>
        </w:rPr>
        <w:t>, Zhejiang, China</w:t>
      </w:r>
      <w:proofErr w:type="gramStart"/>
      <w:r w:rsidRPr="00311D2C">
        <w:rPr>
          <w:rFonts w:cstheme="minorHAnsi"/>
          <w:color w:val="FF0000"/>
          <w:lang w:val="en-US"/>
        </w:rPr>
        <w:t>,</w:t>
      </w:r>
      <w:r w:rsidRPr="00311D2C">
        <w:rPr>
          <w:rFonts w:cstheme="minorHAnsi"/>
          <w:color w:val="FF0000"/>
        </w:rPr>
        <w:t>Китай</w:t>
      </w:r>
      <w:proofErr w:type="gramEnd"/>
      <w:r w:rsidRPr="00311D2C">
        <w:rPr>
          <w:rFonts w:cstheme="minorHAnsi"/>
          <w:color w:val="FF0000"/>
          <w:lang w:val="en-US"/>
        </w:rPr>
        <w:t>.</w:t>
      </w:r>
    </w:p>
    <w:p w:rsidR="00EA30A2" w:rsidRPr="00311D2C" w:rsidRDefault="00EA30A2" w:rsidP="00181435">
      <w:pPr>
        <w:spacing w:after="0"/>
        <w:jc w:val="both"/>
        <w:rPr>
          <w:rFonts w:cstheme="minorHAnsi"/>
          <w:lang w:val="en-US"/>
        </w:rPr>
      </w:pP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>Модель______________________</w:t>
      </w:r>
      <w:r w:rsidRPr="00311D2C">
        <w:rPr>
          <w:rFonts w:cstheme="minorHAnsi"/>
        </w:rPr>
        <w:tab/>
      </w:r>
      <w:r w:rsidRPr="00311D2C">
        <w:rPr>
          <w:rFonts w:cstheme="minorHAnsi"/>
        </w:rPr>
        <w:tab/>
      </w:r>
      <w:r w:rsidRPr="00311D2C">
        <w:rPr>
          <w:rFonts w:cstheme="minorHAnsi"/>
        </w:rPr>
        <w:tab/>
      </w:r>
      <w:r w:rsidRPr="00311D2C">
        <w:rPr>
          <w:rFonts w:cstheme="minorHAnsi"/>
        </w:rPr>
        <w:tab/>
        <w:t>Серийный номер______________</w:t>
      </w: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</w:p>
    <w:p w:rsidR="00EA30A2" w:rsidRPr="00311D2C" w:rsidRDefault="00EA30A2" w:rsidP="00181435">
      <w:pPr>
        <w:spacing w:after="0"/>
        <w:jc w:val="both"/>
        <w:rPr>
          <w:rFonts w:cstheme="minorHAnsi"/>
        </w:rPr>
      </w:pPr>
      <w:r w:rsidRPr="00311D2C">
        <w:rPr>
          <w:rFonts w:cstheme="minorHAnsi"/>
        </w:rPr>
        <w:t>Дата изготовления________________</w:t>
      </w:r>
      <w:r w:rsidRPr="00311D2C">
        <w:rPr>
          <w:rFonts w:cstheme="minorHAnsi"/>
        </w:rPr>
        <w:tab/>
      </w:r>
      <w:r w:rsidRPr="00311D2C">
        <w:rPr>
          <w:rFonts w:cstheme="minorHAnsi"/>
        </w:rPr>
        <w:tab/>
      </w:r>
      <w:r w:rsidRPr="00311D2C">
        <w:rPr>
          <w:rFonts w:cstheme="minorHAnsi"/>
        </w:rPr>
        <w:tab/>
      </w:r>
      <w:r w:rsidRPr="00311D2C">
        <w:rPr>
          <w:rFonts w:cstheme="minorHAnsi"/>
        </w:rPr>
        <w:tab/>
        <w:t>Дата продажи________________</w:t>
      </w:r>
    </w:p>
    <w:p w:rsidR="00C40E17" w:rsidRPr="00311D2C" w:rsidRDefault="003C56A1">
      <w:pPr>
        <w:rPr>
          <w:rFonts w:cstheme="minorHAnsi"/>
        </w:rPr>
      </w:pPr>
    </w:p>
    <w:sectPr w:rsidR="00C40E17" w:rsidRPr="00311D2C" w:rsidSect="00EA30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A2"/>
    <w:rsid w:val="000A7B48"/>
    <w:rsid w:val="00120013"/>
    <w:rsid w:val="00140562"/>
    <w:rsid w:val="00181435"/>
    <w:rsid w:val="001C780D"/>
    <w:rsid w:val="00311D2C"/>
    <w:rsid w:val="003C56A1"/>
    <w:rsid w:val="00450BC0"/>
    <w:rsid w:val="006F013F"/>
    <w:rsid w:val="00782493"/>
    <w:rsid w:val="00A15B3F"/>
    <w:rsid w:val="00CB5059"/>
    <w:rsid w:val="00CC7FF9"/>
    <w:rsid w:val="00D21EFA"/>
    <w:rsid w:val="00E60971"/>
    <w:rsid w:val="00EA30A2"/>
    <w:rsid w:val="00E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Коцан</dc:creator>
  <cp:lastModifiedBy>oleg_m</cp:lastModifiedBy>
  <cp:revision>2</cp:revision>
  <dcterms:created xsi:type="dcterms:W3CDTF">2021-04-15T06:55:00Z</dcterms:created>
  <dcterms:modified xsi:type="dcterms:W3CDTF">2021-04-15T06:55:00Z</dcterms:modified>
</cp:coreProperties>
</file>