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876" w:rsidRPr="00D4783A" w:rsidRDefault="00D4783A" w:rsidP="00D4783A">
      <w:pPr>
        <w:rPr>
          <w:sz w:val="28"/>
          <w:szCs w:val="28"/>
        </w:rPr>
      </w:pPr>
      <w:r w:rsidRPr="00D4783A">
        <w:rPr>
          <w:sz w:val="28"/>
          <w:szCs w:val="28"/>
        </w:rPr>
        <w:t xml:space="preserve">Флакон от клопов и других вредителей </w:t>
      </w:r>
      <w:proofErr w:type="spellStart"/>
      <w:r w:rsidRPr="00D4783A">
        <w:rPr>
          <w:sz w:val="28"/>
          <w:szCs w:val="28"/>
        </w:rPr>
        <w:t>Avgust</w:t>
      </w:r>
      <w:proofErr w:type="spellEnd"/>
      <w:r w:rsidRPr="00D4783A">
        <w:rPr>
          <w:sz w:val="28"/>
          <w:szCs w:val="28"/>
        </w:rPr>
        <w:t xml:space="preserve"> </w:t>
      </w:r>
      <w:proofErr w:type="spellStart"/>
      <w:r w:rsidRPr="00D4783A">
        <w:rPr>
          <w:sz w:val="28"/>
          <w:szCs w:val="28"/>
        </w:rPr>
        <w:t>Клопоед</w:t>
      </w:r>
      <w:proofErr w:type="spellEnd"/>
      <w:r w:rsidRPr="00D4783A">
        <w:rPr>
          <w:sz w:val="28"/>
          <w:szCs w:val="28"/>
        </w:rPr>
        <w:t xml:space="preserve"> 100 мл</w:t>
      </w:r>
    </w:p>
    <w:p w:rsidR="00D4783A" w:rsidRPr="00D4783A" w:rsidRDefault="00D4783A" w:rsidP="00D4783A">
      <w:pPr>
        <w:rPr>
          <w:b/>
        </w:rPr>
      </w:pPr>
      <w:r w:rsidRPr="00D4783A">
        <w:rPr>
          <w:b/>
        </w:rPr>
        <w:t>Клопы</w:t>
      </w:r>
    </w:p>
    <w:tbl>
      <w:tblPr>
        <w:tblStyle w:val="a3"/>
        <w:tblW w:w="0" w:type="auto"/>
        <w:jc w:val="center"/>
        <w:tblLook w:val="04A0" w:firstRow="1" w:lastRow="0" w:firstColumn="1" w:lastColumn="0" w:noHBand="0" w:noVBand="1"/>
      </w:tblPr>
      <w:tblGrid>
        <w:gridCol w:w="3115"/>
        <w:gridCol w:w="3115"/>
        <w:gridCol w:w="3115"/>
      </w:tblGrid>
      <w:tr w:rsidR="00D4783A" w:rsidTr="00D4783A">
        <w:trPr>
          <w:jc w:val="center"/>
        </w:trPr>
        <w:tc>
          <w:tcPr>
            <w:tcW w:w="3115" w:type="dxa"/>
            <w:vAlign w:val="center"/>
          </w:tcPr>
          <w:p w:rsidR="00D4783A" w:rsidRDefault="00D4783A" w:rsidP="00D4783A">
            <w:r>
              <w:t>Способ применения</w:t>
            </w:r>
          </w:p>
        </w:tc>
        <w:tc>
          <w:tcPr>
            <w:tcW w:w="3115" w:type="dxa"/>
            <w:vAlign w:val="center"/>
          </w:tcPr>
          <w:p w:rsidR="00D4783A" w:rsidRDefault="00D4783A" w:rsidP="00D4783A">
            <w:r>
              <w:t>Норма разведения</w:t>
            </w:r>
          </w:p>
        </w:tc>
        <w:tc>
          <w:tcPr>
            <w:tcW w:w="3115" w:type="dxa"/>
            <w:vAlign w:val="center"/>
          </w:tcPr>
          <w:p w:rsidR="00D4783A" w:rsidRDefault="00D4783A" w:rsidP="00D4783A">
            <w:r w:rsidRPr="00D4783A">
              <w:t>Норма расхода</w:t>
            </w:r>
          </w:p>
        </w:tc>
      </w:tr>
      <w:tr w:rsidR="00D4783A" w:rsidTr="00D4783A">
        <w:trPr>
          <w:jc w:val="center"/>
        </w:trPr>
        <w:tc>
          <w:tcPr>
            <w:tcW w:w="3115" w:type="dxa"/>
            <w:vAlign w:val="center"/>
          </w:tcPr>
          <w:p w:rsidR="00D4783A" w:rsidRDefault="00D4783A" w:rsidP="00D4783A">
            <w:r>
              <w:t xml:space="preserve">Обрабатывать места обитания клопов: щели в стенах, полу и мебели, участки за плинтусами, подоконники, обратную сторону картин, ковров, места отхождения обоев и т.п. </w:t>
            </w:r>
            <w:r>
              <w:rPr>
                <w:b/>
                <w:bCs/>
              </w:rPr>
              <w:t>Постельные принадлежности не обрабатывать!</w:t>
            </w:r>
            <w:r>
              <w:t> Обработку проводить одновременно во всех помещениях, где обнаружены клопы, и в помещениях, смежных с ними, с целью предотвращения возможного расселения насекомых. Рабочую водную эмульсию наносят валиком, кистью, тампоном или другим сподручным материалом на места обнаружения, скопления или возможного обитания насекомых</w:t>
            </w:r>
          </w:p>
        </w:tc>
        <w:tc>
          <w:tcPr>
            <w:tcW w:w="3115" w:type="dxa"/>
            <w:vAlign w:val="center"/>
          </w:tcPr>
          <w:p w:rsidR="00D4783A" w:rsidRDefault="00D4783A" w:rsidP="00D4783A">
            <w:r>
              <w:t>100 мл/2 л воды (1:20)</w:t>
            </w:r>
          </w:p>
        </w:tc>
        <w:tc>
          <w:tcPr>
            <w:tcW w:w="3115" w:type="dxa"/>
            <w:vAlign w:val="center"/>
          </w:tcPr>
          <w:p w:rsidR="00D4783A" w:rsidRDefault="00D4783A" w:rsidP="00D4783A">
            <w:r>
              <w:t>100 мл/1 м</w:t>
            </w:r>
            <w:r>
              <w:rPr>
                <w:vertAlign w:val="superscript"/>
              </w:rPr>
              <w:t>2</w:t>
            </w:r>
          </w:p>
        </w:tc>
      </w:tr>
    </w:tbl>
    <w:p w:rsidR="00D4783A" w:rsidRDefault="00D4783A" w:rsidP="00D4783A"/>
    <w:p w:rsidR="00D4783A" w:rsidRPr="00D4783A" w:rsidRDefault="00D4783A" w:rsidP="00D4783A">
      <w:pPr>
        <w:rPr>
          <w:b/>
        </w:rPr>
      </w:pPr>
      <w:r w:rsidRPr="00D4783A">
        <w:rPr>
          <w:b/>
        </w:rPr>
        <w:t>Тараканы</w:t>
      </w:r>
    </w:p>
    <w:tbl>
      <w:tblPr>
        <w:tblStyle w:val="a3"/>
        <w:tblW w:w="0" w:type="auto"/>
        <w:jc w:val="center"/>
        <w:tblLook w:val="04A0" w:firstRow="1" w:lastRow="0" w:firstColumn="1" w:lastColumn="0" w:noHBand="0" w:noVBand="1"/>
      </w:tblPr>
      <w:tblGrid>
        <w:gridCol w:w="3115"/>
        <w:gridCol w:w="3115"/>
        <w:gridCol w:w="3115"/>
      </w:tblGrid>
      <w:tr w:rsidR="00D4783A" w:rsidTr="00D4783A">
        <w:trPr>
          <w:jc w:val="center"/>
        </w:trPr>
        <w:tc>
          <w:tcPr>
            <w:tcW w:w="3115" w:type="dxa"/>
            <w:vAlign w:val="center"/>
          </w:tcPr>
          <w:p w:rsidR="00D4783A" w:rsidRDefault="00D4783A" w:rsidP="00D4783A">
            <w:r>
              <w:t>Способ применения</w:t>
            </w:r>
          </w:p>
        </w:tc>
        <w:tc>
          <w:tcPr>
            <w:tcW w:w="3115" w:type="dxa"/>
            <w:vAlign w:val="center"/>
          </w:tcPr>
          <w:p w:rsidR="00D4783A" w:rsidRDefault="00D4783A" w:rsidP="00D4783A">
            <w:r>
              <w:t>Норма разведения</w:t>
            </w:r>
          </w:p>
        </w:tc>
        <w:tc>
          <w:tcPr>
            <w:tcW w:w="3115" w:type="dxa"/>
            <w:vAlign w:val="center"/>
          </w:tcPr>
          <w:p w:rsidR="00D4783A" w:rsidRDefault="00D4783A" w:rsidP="00D4783A">
            <w:r w:rsidRPr="00D4783A">
              <w:t>Норма расхода</w:t>
            </w:r>
          </w:p>
        </w:tc>
      </w:tr>
      <w:tr w:rsidR="00D4783A" w:rsidTr="00D4783A">
        <w:trPr>
          <w:jc w:val="center"/>
        </w:trPr>
        <w:tc>
          <w:tcPr>
            <w:tcW w:w="3115" w:type="dxa"/>
            <w:vAlign w:val="center"/>
          </w:tcPr>
          <w:p w:rsidR="00D4783A" w:rsidRDefault="00D4783A" w:rsidP="00D4783A">
            <w:r>
              <w:t xml:space="preserve">Обрабатывают места обитания тараканов и пути их проникновения в помещение: щели вдоль плинтусов и прилегающие к ним участки стен и пола, участки поверхности вдоль труб водопроводной и канализационной систем, щели в стенах, полу, за дверными коробками, а также заднюю сторону предметов обстановки (буфеты, столы, полки, стеллажи, картины). Рабочую водную эмульсию наносят валиком, кистью, тампоном или другим сподручным материалом на места обнаружения, скопления или возможного обитания насекомых. Обработку проводят </w:t>
            </w:r>
            <w:r>
              <w:lastRenderedPageBreak/>
              <w:t>одновременно во всех помещениях, где обнаружены тараканы. При большой степени заселённости тараканами следует обрабатывать средством также смежные помещения с целью их ограждения от заселения этими насекомыми. Погибших и парализованных насекомых следует систематически сметать и уничтожать (спускать в канализацию, выбрасывать в мусоросборник)</w:t>
            </w:r>
          </w:p>
        </w:tc>
        <w:tc>
          <w:tcPr>
            <w:tcW w:w="3115" w:type="dxa"/>
            <w:vAlign w:val="center"/>
          </w:tcPr>
          <w:p w:rsidR="00D4783A" w:rsidRDefault="00D4783A" w:rsidP="00D4783A">
            <w:r>
              <w:lastRenderedPageBreak/>
              <w:t>100 мл/2 л воды (1:20) или 100 мл/4 л воды (1:40)</w:t>
            </w:r>
          </w:p>
        </w:tc>
        <w:tc>
          <w:tcPr>
            <w:tcW w:w="3115" w:type="dxa"/>
            <w:vAlign w:val="center"/>
          </w:tcPr>
          <w:p w:rsidR="00D4783A" w:rsidRDefault="00D4783A" w:rsidP="00D4783A">
            <w:r>
              <w:t>50 мл/1 м</w:t>
            </w:r>
            <w:r>
              <w:rPr>
                <w:vertAlign w:val="superscript"/>
              </w:rPr>
              <w:t>2 </w:t>
            </w:r>
            <w:r>
              <w:t>на не впитывающей влагу поверхности или 100 мл/1 м</w:t>
            </w:r>
            <w:r>
              <w:rPr>
                <w:vertAlign w:val="superscript"/>
              </w:rPr>
              <w:t>2</w:t>
            </w:r>
            <w:r>
              <w:t> на впитывающей влагу поверхности</w:t>
            </w:r>
          </w:p>
        </w:tc>
      </w:tr>
    </w:tbl>
    <w:p w:rsidR="00D4783A" w:rsidRDefault="00D4783A" w:rsidP="00D4783A"/>
    <w:p w:rsidR="00D4783A" w:rsidRPr="00D4783A" w:rsidRDefault="00D4783A" w:rsidP="00D4783A">
      <w:pPr>
        <w:rPr>
          <w:b/>
        </w:rPr>
      </w:pPr>
      <w:r w:rsidRPr="00D4783A">
        <w:rPr>
          <w:b/>
        </w:rPr>
        <w:t>Блохи</w:t>
      </w:r>
    </w:p>
    <w:tbl>
      <w:tblPr>
        <w:tblStyle w:val="a3"/>
        <w:tblW w:w="0" w:type="auto"/>
        <w:jc w:val="center"/>
        <w:tblLook w:val="04A0" w:firstRow="1" w:lastRow="0" w:firstColumn="1" w:lastColumn="0" w:noHBand="0" w:noVBand="1"/>
      </w:tblPr>
      <w:tblGrid>
        <w:gridCol w:w="3115"/>
        <w:gridCol w:w="3115"/>
        <w:gridCol w:w="3115"/>
      </w:tblGrid>
      <w:tr w:rsidR="00D4783A" w:rsidTr="00D4783A">
        <w:trPr>
          <w:jc w:val="center"/>
        </w:trPr>
        <w:tc>
          <w:tcPr>
            <w:tcW w:w="3115" w:type="dxa"/>
            <w:vAlign w:val="center"/>
          </w:tcPr>
          <w:p w:rsidR="00D4783A" w:rsidRDefault="00D4783A" w:rsidP="00D4783A">
            <w:r>
              <w:t>Способ применения</w:t>
            </w:r>
          </w:p>
        </w:tc>
        <w:tc>
          <w:tcPr>
            <w:tcW w:w="3115" w:type="dxa"/>
            <w:vAlign w:val="center"/>
          </w:tcPr>
          <w:p w:rsidR="00D4783A" w:rsidRDefault="00D4783A" w:rsidP="00D4783A">
            <w:r>
              <w:t>Норма разведения</w:t>
            </w:r>
          </w:p>
        </w:tc>
        <w:tc>
          <w:tcPr>
            <w:tcW w:w="3115" w:type="dxa"/>
            <w:vAlign w:val="center"/>
          </w:tcPr>
          <w:p w:rsidR="00D4783A" w:rsidRDefault="00D4783A" w:rsidP="00D4783A">
            <w:r w:rsidRPr="00D4783A">
              <w:t>Норма расхода</w:t>
            </w:r>
          </w:p>
        </w:tc>
      </w:tr>
      <w:tr w:rsidR="00D4783A" w:rsidTr="00D4783A">
        <w:trPr>
          <w:jc w:val="center"/>
        </w:trPr>
        <w:tc>
          <w:tcPr>
            <w:tcW w:w="3115" w:type="dxa"/>
            <w:vAlign w:val="center"/>
          </w:tcPr>
          <w:p w:rsidR="00D4783A" w:rsidRDefault="00D4783A" w:rsidP="00D4783A">
            <w:r>
              <w:t>В помещении обрабатывают поверхность пола, щели в полу и за плинтусами, стены на высоту до 1 м, обратную сторону ковров и т.п. Также обрабатывают подстилки и коврики для животных, которые перед дальнейшим использованием необходимо вытряхивать и обязательно стирать. Рабочую водную эмульсию наносят валиком, кистью, тампоном или другим сподручным материалом </w:t>
            </w:r>
          </w:p>
        </w:tc>
        <w:tc>
          <w:tcPr>
            <w:tcW w:w="3115" w:type="dxa"/>
            <w:vAlign w:val="center"/>
          </w:tcPr>
          <w:p w:rsidR="00D4783A" w:rsidRDefault="00D4783A" w:rsidP="00D4783A">
            <w:r>
              <w:t>10 мл/2 л воды (1:200)</w:t>
            </w:r>
          </w:p>
        </w:tc>
        <w:tc>
          <w:tcPr>
            <w:tcW w:w="3115" w:type="dxa"/>
            <w:vAlign w:val="center"/>
          </w:tcPr>
          <w:p w:rsidR="00D4783A" w:rsidRDefault="00D4783A" w:rsidP="00D4783A">
            <w:r>
              <w:t>100 мл/1 м</w:t>
            </w:r>
            <w:r>
              <w:rPr>
                <w:vertAlign w:val="superscript"/>
              </w:rPr>
              <w:t>2</w:t>
            </w:r>
          </w:p>
        </w:tc>
      </w:tr>
    </w:tbl>
    <w:p w:rsidR="00D4783A" w:rsidRDefault="00D4783A" w:rsidP="00D4783A"/>
    <w:p w:rsidR="00D4783A" w:rsidRPr="00D4783A" w:rsidRDefault="00D4783A" w:rsidP="00D4783A">
      <w:pPr>
        <w:rPr>
          <w:b/>
        </w:rPr>
      </w:pPr>
      <w:r w:rsidRPr="00D4783A">
        <w:rPr>
          <w:b/>
        </w:rPr>
        <w:t>Муравьи в помещении</w:t>
      </w:r>
    </w:p>
    <w:tbl>
      <w:tblPr>
        <w:tblStyle w:val="a3"/>
        <w:tblW w:w="0" w:type="auto"/>
        <w:jc w:val="center"/>
        <w:tblLook w:val="04A0" w:firstRow="1" w:lastRow="0" w:firstColumn="1" w:lastColumn="0" w:noHBand="0" w:noVBand="1"/>
      </w:tblPr>
      <w:tblGrid>
        <w:gridCol w:w="3115"/>
        <w:gridCol w:w="3115"/>
        <w:gridCol w:w="3115"/>
      </w:tblGrid>
      <w:tr w:rsidR="00D4783A" w:rsidTr="00D4783A">
        <w:trPr>
          <w:jc w:val="center"/>
        </w:trPr>
        <w:tc>
          <w:tcPr>
            <w:tcW w:w="3115" w:type="dxa"/>
            <w:vAlign w:val="center"/>
          </w:tcPr>
          <w:p w:rsidR="00D4783A" w:rsidRDefault="00D4783A" w:rsidP="00D4783A">
            <w:r>
              <w:t>Способ применения</w:t>
            </w:r>
          </w:p>
        </w:tc>
        <w:tc>
          <w:tcPr>
            <w:tcW w:w="3115" w:type="dxa"/>
            <w:vAlign w:val="center"/>
          </w:tcPr>
          <w:p w:rsidR="00D4783A" w:rsidRDefault="00D4783A" w:rsidP="00D4783A">
            <w:r>
              <w:t>Норма разведения</w:t>
            </w:r>
          </w:p>
        </w:tc>
        <w:tc>
          <w:tcPr>
            <w:tcW w:w="3115" w:type="dxa"/>
            <w:vAlign w:val="center"/>
          </w:tcPr>
          <w:p w:rsidR="00D4783A" w:rsidRDefault="00D4783A" w:rsidP="00D4783A">
            <w:r w:rsidRPr="00D4783A">
              <w:t>Норма расхода</w:t>
            </w:r>
          </w:p>
        </w:tc>
      </w:tr>
      <w:tr w:rsidR="00D4783A" w:rsidTr="00D4783A">
        <w:trPr>
          <w:jc w:val="center"/>
        </w:trPr>
        <w:tc>
          <w:tcPr>
            <w:tcW w:w="3115" w:type="dxa"/>
            <w:vAlign w:val="center"/>
          </w:tcPr>
          <w:p w:rsidR="00D4783A" w:rsidRDefault="00D4783A" w:rsidP="00D4783A">
            <w:r>
              <w:t>Обработать средством скопления насекомых и пути их передвижения («дорожки»). Рабочую водную эмульсию наносят валиком, кистью, тампоном или другим сподручным материалом </w:t>
            </w:r>
          </w:p>
        </w:tc>
        <w:tc>
          <w:tcPr>
            <w:tcW w:w="3115" w:type="dxa"/>
            <w:vAlign w:val="center"/>
          </w:tcPr>
          <w:p w:rsidR="00D4783A" w:rsidRDefault="00D4783A" w:rsidP="00D4783A">
            <w:r>
              <w:t>10 мл/2 л воды (1:200)</w:t>
            </w:r>
          </w:p>
        </w:tc>
        <w:tc>
          <w:tcPr>
            <w:tcW w:w="3115" w:type="dxa"/>
            <w:vAlign w:val="center"/>
          </w:tcPr>
          <w:p w:rsidR="00D4783A" w:rsidRDefault="00D4783A" w:rsidP="00D4783A">
            <w:r>
              <w:t>100 мл/1 м</w:t>
            </w:r>
            <w:r>
              <w:rPr>
                <w:vertAlign w:val="superscript"/>
              </w:rPr>
              <w:t>2</w:t>
            </w:r>
          </w:p>
        </w:tc>
      </w:tr>
    </w:tbl>
    <w:p w:rsidR="00D4783A" w:rsidRDefault="00D4783A" w:rsidP="00D4783A"/>
    <w:p w:rsidR="00D4783A" w:rsidRPr="00D4783A" w:rsidRDefault="00D4783A" w:rsidP="00D4783A">
      <w:pPr>
        <w:rPr>
          <w:b/>
        </w:rPr>
      </w:pPr>
      <w:r w:rsidRPr="00D4783A">
        <w:rPr>
          <w:b/>
        </w:rPr>
        <w:t>Мухи</w:t>
      </w:r>
    </w:p>
    <w:tbl>
      <w:tblPr>
        <w:tblStyle w:val="a3"/>
        <w:tblW w:w="0" w:type="auto"/>
        <w:jc w:val="center"/>
        <w:tblLook w:val="04A0" w:firstRow="1" w:lastRow="0" w:firstColumn="1" w:lastColumn="0" w:noHBand="0" w:noVBand="1"/>
      </w:tblPr>
      <w:tblGrid>
        <w:gridCol w:w="2336"/>
        <w:gridCol w:w="2336"/>
        <w:gridCol w:w="2336"/>
        <w:gridCol w:w="2337"/>
      </w:tblGrid>
      <w:tr w:rsidR="00D4783A" w:rsidTr="00D4783A">
        <w:trPr>
          <w:jc w:val="center"/>
        </w:trPr>
        <w:tc>
          <w:tcPr>
            <w:tcW w:w="2336" w:type="dxa"/>
            <w:vAlign w:val="center"/>
          </w:tcPr>
          <w:p w:rsidR="00D4783A" w:rsidRDefault="00D4783A" w:rsidP="00D4783A">
            <w:r>
              <w:t>Способ применения</w:t>
            </w:r>
          </w:p>
        </w:tc>
        <w:tc>
          <w:tcPr>
            <w:tcW w:w="2336" w:type="dxa"/>
            <w:vAlign w:val="center"/>
          </w:tcPr>
          <w:p w:rsidR="00D4783A" w:rsidRDefault="00D4783A" w:rsidP="00D4783A">
            <w:r>
              <w:t>Норма разведения</w:t>
            </w:r>
          </w:p>
        </w:tc>
        <w:tc>
          <w:tcPr>
            <w:tcW w:w="2336" w:type="dxa"/>
            <w:vAlign w:val="center"/>
          </w:tcPr>
          <w:p w:rsidR="00D4783A" w:rsidRDefault="00D4783A" w:rsidP="00D4783A">
            <w:r w:rsidRPr="00D4783A">
              <w:t>Норма расхода</w:t>
            </w:r>
          </w:p>
        </w:tc>
        <w:tc>
          <w:tcPr>
            <w:tcW w:w="2337" w:type="dxa"/>
            <w:vAlign w:val="center"/>
          </w:tcPr>
          <w:p w:rsidR="00D4783A" w:rsidRDefault="00D4783A" w:rsidP="00D4783A">
            <w:r w:rsidRPr="00D4783A">
              <w:t>Количество обработок</w:t>
            </w:r>
          </w:p>
        </w:tc>
      </w:tr>
      <w:tr w:rsidR="00D4783A" w:rsidTr="00D4783A">
        <w:trPr>
          <w:jc w:val="center"/>
        </w:trPr>
        <w:tc>
          <w:tcPr>
            <w:tcW w:w="2336" w:type="dxa"/>
            <w:vAlign w:val="center"/>
          </w:tcPr>
          <w:p w:rsidR="00D4783A" w:rsidRDefault="00D4783A" w:rsidP="00D4783A">
            <w:r>
              <w:t xml:space="preserve">Использовать жидкие приманки в сахарном сиропе, которые можно размещать в </w:t>
            </w:r>
            <w:r>
              <w:lastRenderedPageBreak/>
              <w:t>плоских ёмкостях или наносить кистью на места посадки мух в помещениях</w:t>
            </w:r>
          </w:p>
        </w:tc>
        <w:tc>
          <w:tcPr>
            <w:tcW w:w="2336" w:type="dxa"/>
            <w:vAlign w:val="center"/>
          </w:tcPr>
          <w:p w:rsidR="00D4783A" w:rsidRDefault="00D4783A" w:rsidP="00D4783A">
            <w:r>
              <w:lastRenderedPageBreak/>
              <w:t xml:space="preserve">100 мл/2 л воды (1:20) либо 100 мл/4 л воды (1:40). Для приготовления 1 л </w:t>
            </w:r>
            <w:r>
              <w:lastRenderedPageBreak/>
              <w:t>сиропа необходимо 100 г сахара смешать с 1 л тёплой воды и хорошо перемешать до растворения сахара. Затем приготовить приманку требуемой концентрации, смешав средство с сиропом</w:t>
            </w:r>
          </w:p>
        </w:tc>
        <w:tc>
          <w:tcPr>
            <w:tcW w:w="2336" w:type="dxa"/>
            <w:vAlign w:val="center"/>
          </w:tcPr>
          <w:p w:rsidR="00D4783A" w:rsidRDefault="00D4783A" w:rsidP="00D4783A">
            <w:r>
              <w:lastRenderedPageBreak/>
              <w:t>100 мл/1 м</w:t>
            </w:r>
            <w:r>
              <w:rPr>
                <w:vertAlign w:val="superscript"/>
              </w:rPr>
              <w:t>2 </w:t>
            </w:r>
            <w:r>
              <w:t>либо три ёмкости с приманкой на помещение площадью 10 м</w:t>
            </w:r>
            <w:r>
              <w:rPr>
                <w:vertAlign w:val="superscript"/>
              </w:rPr>
              <w:t>2</w:t>
            </w:r>
          </w:p>
        </w:tc>
        <w:tc>
          <w:tcPr>
            <w:tcW w:w="2337" w:type="dxa"/>
            <w:vAlign w:val="center"/>
          </w:tcPr>
          <w:p w:rsidR="00D4783A" w:rsidRDefault="00D4783A" w:rsidP="00D4783A">
            <w:r>
              <w:t>Повторные обработки проводить по мере необходимости</w:t>
            </w:r>
          </w:p>
        </w:tc>
      </w:tr>
    </w:tbl>
    <w:p w:rsidR="00D4783A" w:rsidRDefault="00D4783A" w:rsidP="00D4783A"/>
    <w:p w:rsidR="00D4783A" w:rsidRPr="00D4783A" w:rsidRDefault="00D4783A" w:rsidP="00D4783A">
      <w:pPr>
        <w:rPr>
          <w:b/>
        </w:rPr>
      </w:pPr>
      <w:r w:rsidRPr="00D4783A">
        <w:rPr>
          <w:b/>
        </w:rPr>
        <w:t>Личинки комаров</w:t>
      </w:r>
    </w:p>
    <w:tbl>
      <w:tblPr>
        <w:tblStyle w:val="a3"/>
        <w:tblW w:w="0" w:type="auto"/>
        <w:jc w:val="center"/>
        <w:tblLook w:val="04A0" w:firstRow="1" w:lastRow="0" w:firstColumn="1" w:lastColumn="0" w:noHBand="0" w:noVBand="1"/>
      </w:tblPr>
      <w:tblGrid>
        <w:gridCol w:w="4672"/>
        <w:gridCol w:w="4673"/>
      </w:tblGrid>
      <w:tr w:rsidR="00D4783A" w:rsidTr="00D4783A">
        <w:trPr>
          <w:jc w:val="center"/>
        </w:trPr>
        <w:tc>
          <w:tcPr>
            <w:tcW w:w="4672" w:type="dxa"/>
            <w:vAlign w:val="center"/>
          </w:tcPr>
          <w:p w:rsidR="00D4783A" w:rsidRDefault="00D4783A" w:rsidP="00D4783A">
            <w:r>
              <w:t>Способ применения</w:t>
            </w:r>
          </w:p>
        </w:tc>
        <w:tc>
          <w:tcPr>
            <w:tcW w:w="4673" w:type="dxa"/>
            <w:vAlign w:val="center"/>
          </w:tcPr>
          <w:p w:rsidR="00D4783A" w:rsidRDefault="00D4783A" w:rsidP="00D4783A">
            <w:r>
              <w:t>Норма разведения</w:t>
            </w:r>
          </w:p>
        </w:tc>
      </w:tr>
      <w:tr w:rsidR="00D4783A" w:rsidTr="00D4783A">
        <w:trPr>
          <w:jc w:val="center"/>
        </w:trPr>
        <w:tc>
          <w:tcPr>
            <w:tcW w:w="4672" w:type="dxa"/>
            <w:vAlign w:val="center"/>
          </w:tcPr>
          <w:p w:rsidR="00D4783A" w:rsidRDefault="00D4783A" w:rsidP="00D4783A">
            <w:r>
              <w:t>Обрабатывают водоемы различного типа (естественные или искусственные), противопожарные емкости, садовые бочки для полива и другие емкости, приспособленные для сбора воды</w:t>
            </w:r>
          </w:p>
        </w:tc>
        <w:tc>
          <w:tcPr>
            <w:tcW w:w="4673" w:type="dxa"/>
            <w:vAlign w:val="center"/>
          </w:tcPr>
          <w:p w:rsidR="00D4783A" w:rsidRDefault="00D4783A" w:rsidP="00D4783A">
            <w:r>
              <w:t>10 мл/20 л воды (</w:t>
            </w:r>
            <w:bookmarkStart w:id="0" w:name="_GoBack"/>
            <w:bookmarkEnd w:id="0"/>
            <w:r>
              <w:t>1:2000) либо 10 мл/10 л воды (1:1000)</w:t>
            </w:r>
          </w:p>
        </w:tc>
      </w:tr>
    </w:tbl>
    <w:p w:rsidR="00D4783A" w:rsidRPr="00D4783A" w:rsidRDefault="00D4783A" w:rsidP="00D4783A"/>
    <w:sectPr w:rsidR="00D4783A" w:rsidRPr="00D47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3A"/>
    <w:rsid w:val="00CC2564"/>
    <w:rsid w:val="00D4783A"/>
    <w:rsid w:val="00E83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4077"/>
  <w15:chartTrackingRefBased/>
  <w15:docId w15:val="{3348642A-CD4C-4F64-8FCF-86EAE57B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7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dbritousov@rtelecom.kz</dc:creator>
  <cp:keywords/>
  <dc:description/>
  <cp:lastModifiedBy>dbritousov@rtelecom.kz</cp:lastModifiedBy>
  <cp:revision>1</cp:revision>
  <dcterms:created xsi:type="dcterms:W3CDTF">2020-09-04T12:43:00Z</dcterms:created>
  <dcterms:modified xsi:type="dcterms:W3CDTF">2020-09-04T12:51:00Z</dcterms:modified>
</cp:coreProperties>
</file>