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62582A" w:rsidRDefault="0062582A" w:rsidP="0062582A">
      <w:pPr>
        <w:rPr>
          <w:sz w:val="28"/>
          <w:szCs w:val="28"/>
        </w:rPr>
      </w:pPr>
      <w:bookmarkStart w:id="0" w:name="_GoBack"/>
      <w:r w:rsidRPr="0062582A">
        <w:rPr>
          <w:sz w:val="28"/>
          <w:szCs w:val="28"/>
        </w:rPr>
        <w:t xml:space="preserve">Гель от тараканов Ваше Хозяйство Великий воин </w:t>
      </w:r>
      <w:r w:rsidR="0044169D" w:rsidRPr="0044169D">
        <w:rPr>
          <w:sz w:val="28"/>
          <w:szCs w:val="28"/>
        </w:rPr>
        <w:t xml:space="preserve">80 г </w:t>
      </w:r>
      <w:r w:rsidR="003E4231" w:rsidRPr="003E4231">
        <w:rPr>
          <w:sz w:val="28"/>
          <w:szCs w:val="28"/>
        </w:rPr>
        <w:t>4607043200204</w:t>
      </w:r>
    </w:p>
    <w:bookmarkEnd w:id="0"/>
    <w:p w:rsidR="0062582A" w:rsidRPr="0062582A" w:rsidRDefault="0062582A" w:rsidP="0062582A">
      <w:pPr>
        <w:pStyle w:val="a3"/>
        <w:rPr>
          <w:rFonts w:asciiTheme="minorHAnsi" w:hAnsiTheme="minorHAnsi" w:cstheme="minorHAnsi"/>
          <w:sz w:val="22"/>
          <w:szCs w:val="22"/>
        </w:rPr>
      </w:pPr>
      <w:r w:rsidRPr="0062582A">
        <w:rPr>
          <w:rFonts w:asciiTheme="minorHAnsi" w:hAnsiTheme="minorHAnsi" w:cstheme="minorHAnsi"/>
          <w:b/>
          <w:bCs/>
          <w:sz w:val="22"/>
          <w:szCs w:val="22"/>
        </w:rPr>
        <w:t>Способ применения:</w:t>
      </w:r>
      <w:r w:rsidRPr="0062582A">
        <w:rPr>
          <w:rFonts w:asciiTheme="minorHAnsi" w:hAnsiTheme="minorHAnsi" w:cstheme="minorHAnsi"/>
          <w:sz w:val="22"/>
          <w:szCs w:val="22"/>
        </w:rPr>
        <w:t xml:space="preserve"> нанести средство пунктиром вдоль плинтусов, в щели и другие отверстия в которых могут укрываться тараканы. При высокой численности насекомых препарат наносят по периметру помещения пунктирной линией: 2 см геля — 6 см необработанной поверхности. При малой и средней численности тараканов интервал между полосками геля можно увеличить до 6–8 см. Гель можно наносить на подложку (30–50 мг) и расставлять в местах обитания, скопления или передвижения тараканов. </w:t>
      </w:r>
    </w:p>
    <w:p w:rsidR="0062582A" w:rsidRPr="0062582A" w:rsidRDefault="0062582A" w:rsidP="0062582A">
      <w:pPr>
        <w:pStyle w:val="a3"/>
        <w:rPr>
          <w:rFonts w:asciiTheme="minorHAnsi" w:hAnsiTheme="minorHAnsi" w:cstheme="minorHAnsi"/>
          <w:sz w:val="22"/>
          <w:szCs w:val="22"/>
        </w:rPr>
      </w:pPr>
      <w:r w:rsidRPr="0062582A">
        <w:rPr>
          <w:rFonts w:asciiTheme="minorHAnsi" w:hAnsiTheme="minorHAnsi" w:cstheme="minorHAnsi"/>
          <w:sz w:val="22"/>
          <w:szCs w:val="22"/>
        </w:rPr>
        <w:t xml:space="preserve">Для уничтожения рыжих домовых муравьев гель наносят пунктиром в местах их обнаружения или на путях передвижения («дорожки») с интервалом от 2 до 6 см между полосками геля. Для уничтожения садовых и других видов муравьев, которые как правило, заползают на нижние этажи домов, коттеджей, веранд открытых террас, гель размещают на подложки или наносят не только по периметру помещений, но и снаружи их. Норма расхода: 30 мг/кв. м. Повторяют обработки при появлении муравьев. Гибель муравьев наступает через 1 сутки, а тараканов на 2 сутки. </w:t>
      </w:r>
    </w:p>
    <w:p w:rsidR="0062582A" w:rsidRPr="0062582A" w:rsidRDefault="0062582A" w:rsidP="0062582A">
      <w:pPr>
        <w:pStyle w:val="a3"/>
        <w:rPr>
          <w:rFonts w:asciiTheme="minorHAnsi" w:hAnsiTheme="minorHAnsi" w:cstheme="minorHAnsi"/>
          <w:sz w:val="22"/>
          <w:szCs w:val="22"/>
        </w:rPr>
      </w:pPr>
      <w:r w:rsidRPr="0062582A">
        <w:rPr>
          <w:rFonts w:asciiTheme="minorHAnsi" w:hAnsiTheme="minorHAnsi" w:cstheme="minorHAnsi"/>
          <w:sz w:val="22"/>
          <w:szCs w:val="22"/>
        </w:rPr>
        <w:t xml:space="preserve">Повторное применение рекомендуется при появлении насекомых, но не ранее чем через 3 недели, т. к. состав, обладая кишечно-контактным действием, сохраняет свое действие 1,5–2 месяца. </w:t>
      </w:r>
    </w:p>
    <w:p w:rsidR="0062582A" w:rsidRPr="0062582A" w:rsidRDefault="0062582A" w:rsidP="0062582A">
      <w:pPr>
        <w:pStyle w:val="a3"/>
        <w:rPr>
          <w:rFonts w:asciiTheme="minorHAnsi" w:hAnsiTheme="minorHAnsi" w:cstheme="minorHAnsi"/>
          <w:sz w:val="22"/>
          <w:szCs w:val="22"/>
        </w:rPr>
      </w:pPr>
      <w:r w:rsidRPr="0062582A">
        <w:rPr>
          <w:rFonts w:asciiTheme="minorHAnsi" w:hAnsiTheme="minorHAnsi" w:cstheme="minorHAnsi"/>
          <w:b/>
          <w:bCs/>
          <w:sz w:val="22"/>
          <w:szCs w:val="22"/>
        </w:rPr>
        <w:t>Меры предосторожности:</w:t>
      </w:r>
      <w:r w:rsidRPr="0062582A">
        <w:rPr>
          <w:rFonts w:asciiTheme="minorHAnsi" w:hAnsiTheme="minorHAnsi" w:cstheme="minorHAnsi"/>
          <w:sz w:val="22"/>
          <w:szCs w:val="22"/>
        </w:rPr>
        <w:t xml:space="preserve"> Избегать контакта состава приманки с кожей; при случайном попадании обильно смыть водой. После работы со средством вымыть руки водой с мылом. Использовать только по назначению. Сразу же после использования контейнеры выбрасывают в мусоропровод. Хранить в сухом, прохладном, затемненном помещении, отдельно от пищевых продуктов, в местах, не доступных для детей и домашних животных. </w:t>
      </w:r>
    </w:p>
    <w:p w:rsidR="0062582A" w:rsidRPr="0062582A" w:rsidRDefault="0062582A" w:rsidP="0062582A">
      <w:pPr>
        <w:pStyle w:val="a3"/>
        <w:rPr>
          <w:rFonts w:asciiTheme="minorHAnsi" w:hAnsiTheme="minorHAnsi" w:cstheme="minorHAnsi"/>
          <w:sz w:val="22"/>
          <w:szCs w:val="22"/>
        </w:rPr>
      </w:pPr>
      <w:r w:rsidRPr="0062582A">
        <w:rPr>
          <w:rFonts w:asciiTheme="minorHAnsi" w:hAnsiTheme="minorHAnsi" w:cstheme="minorHAnsi"/>
          <w:b/>
          <w:bCs/>
          <w:sz w:val="22"/>
          <w:szCs w:val="22"/>
        </w:rPr>
        <w:t>Срок годности</w:t>
      </w:r>
      <w:r w:rsidRPr="0062582A">
        <w:rPr>
          <w:rFonts w:asciiTheme="minorHAnsi" w:hAnsiTheme="minorHAnsi" w:cstheme="minorHAnsi"/>
          <w:sz w:val="22"/>
          <w:szCs w:val="22"/>
        </w:rPr>
        <w:t xml:space="preserve">: 2 года. </w:t>
      </w:r>
    </w:p>
    <w:p w:rsidR="0062582A" w:rsidRDefault="0062582A" w:rsidP="0062582A"/>
    <w:sectPr w:rsidR="0062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2A"/>
    <w:rsid w:val="003E4231"/>
    <w:rsid w:val="0044169D"/>
    <w:rsid w:val="0062582A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41E03-C18D-4B54-B541-DC7FA8A1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2020-08-31T09:47:00Z</dcterms:created>
  <dcterms:modified xsi:type="dcterms:W3CDTF">2020-08-31T09:47:00Z</dcterms:modified>
</cp:coreProperties>
</file>