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3.png" ContentType="image/png"/>
  <Override PartName="/word/media/image32.jpeg" ContentType="image/jpeg"/>
  <Override PartName="/word/media/image31.jpeg" ContentType="image/jpeg"/>
  <Override PartName="/word/media/image30.jpeg" ContentType="image/jpeg"/>
  <Override PartName="/word/media/image29.jpeg" ContentType="image/jpeg"/>
  <Override PartName="/word/media/image9.jpeg" ContentType="image/jpeg"/>
  <Override PartName="/word/media/image28.jpeg" ContentType="image/jpeg"/>
  <Override PartName="/word/media/image8.jpeg" ContentType="image/jpeg"/>
  <Override PartName="/word/media/image17.png" ContentType="image/png"/>
  <Override PartName="/word/media/image26.jpeg" ContentType="image/jpeg"/>
  <Override PartName="/word/media/image6.jpeg" ContentType="image/jpeg"/>
  <Override PartName="/word/media/image12.png" ContentType="image/png"/>
  <Override PartName="/word/media/image25.jpeg" ContentType="image/jpeg"/>
  <Override PartName="/word/media/image5.jpeg" ContentType="image/jpeg"/>
  <Override PartName="/word/media/image34.png" ContentType="image/png"/>
  <Override PartName="/word/media/image10.jpeg" ContentType="image/jpeg"/>
  <Override PartName="/word/media/image14.png" ContentType="image/png"/>
  <Override PartName="/word/media/image23.jpeg" ContentType="image/jpeg"/>
  <Override PartName="/word/media/image3.jpeg" ContentType="image/jpeg"/>
  <Override PartName="/word/media/image16.png" ContentType="image/png"/>
  <Override PartName="/word/media/image24.jpeg" ContentType="image/jpeg"/>
  <Override PartName="/word/media/image4.jpeg" ContentType="image/jpeg"/>
  <Override PartName="/word/media/image19.jpeg" ContentType="image/jpeg"/>
  <Override PartName="/word/media/image11.png" ContentType="image/png"/>
  <Override PartName="/word/media/image13.png" ContentType="image/png"/>
  <Override PartName="/word/media/image27.jpeg" ContentType="image/jpeg"/>
  <Override PartName="/word/media/image7.jpeg" ContentType="image/jpeg"/>
  <Override PartName="/word/media/image15.png" ContentType="image/png"/>
  <Override PartName="/word/media/image1.jpeg" ContentType="image/jpeg"/>
  <Override PartName="/word/media/image21.jpeg" ContentType="image/jpeg"/>
  <Override PartName="/word/media/image20.jpeg" ContentType="image/jpeg"/>
  <Override PartName="/word/media/image2.jpeg" ContentType="image/jpeg"/>
  <Override PartName="/word/media/image18.png" ContentType="image/png"/>
  <Override PartName="/word/media/image22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center"/>
        <w:rPr>
          <w:rFonts w:ascii="Times New Roman" w:hAnsi="Times New Roman" w:eastAsia="" w:cs="Times New Roman" w:eastAsiaTheme="minorEastAsia"/>
          <w:b/>
          <w:b/>
          <w:sz w:val="48"/>
          <w:szCs w:val="28"/>
          <w:lang w:val="en-US" w:eastAsia="ru-RU"/>
        </w:rPr>
      </w:pPr>
      <w:r>
        <w:rPr>
          <w:rFonts w:eastAsia="" w:cs="Times New Roman" w:eastAsiaTheme="minorEastAsia" w:ascii="Times New Roman" w:hAnsi="Times New Roman"/>
          <w:b/>
          <w:sz w:val="48"/>
          <w:szCs w:val="28"/>
          <w:lang w:val="en-US" w:eastAsia="ru-RU"/>
        </w:rPr>
      </w:r>
    </w:p>
    <w:p>
      <w:pPr>
        <w:pStyle w:val="Normal"/>
        <w:spacing w:lineRule="auto" w:line="360"/>
        <w:jc w:val="center"/>
        <w:rPr>
          <w:rFonts w:ascii="Times New Roman" w:hAnsi="Times New Roman" w:eastAsia="" w:cs="Times New Roman" w:eastAsiaTheme="minorEastAsia"/>
          <w:b/>
          <w:b/>
          <w:sz w:val="48"/>
          <w:szCs w:val="28"/>
          <w:lang w:val="en-US" w:eastAsia="ru-RU"/>
        </w:rPr>
      </w:pPr>
      <w:r>
        <w:rPr>
          <w:rFonts w:eastAsia="" w:cs="Times New Roman" w:eastAsiaTheme="minorEastAsia" w:ascii="Times New Roman" w:hAnsi="Times New Roman"/>
          <w:b/>
          <w:sz w:val="48"/>
          <w:szCs w:val="28"/>
          <w:lang w:val="en-US" w:eastAsia="ru-RU"/>
        </w:rPr>
      </w:r>
    </w:p>
    <w:p>
      <w:pPr>
        <w:pStyle w:val="Normal"/>
        <w:spacing w:lineRule="auto" w:line="360"/>
        <w:jc w:val="center"/>
        <w:rPr>
          <w:rFonts w:ascii="Times New Roman" w:hAnsi="Times New Roman" w:eastAsia="" w:cs="Times New Roman" w:eastAsiaTheme="minorEastAsia"/>
          <w:b/>
          <w:b/>
          <w:sz w:val="48"/>
          <w:szCs w:val="28"/>
          <w:lang w:eastAsia="ru-RU"/>
        </w:rPr>
      </w:pPr>
      <w:r>
        <w:rPr>
          <w:rFonts w:eastAsia="" w:cs="Times New Roman" w:ascii="Times New Roman" w:hAnsi="Times New Roman" w:eastAsiaTheme="minorEastAsia"/>
          <w:b/>
          <w:sz w:val="48"/>
          <w:szCs w:val="28"/>
          <w:lang w:eastAsia="ru-RU"/>
        </w:rPr>
        <w:t>Пресс электрогидравлический, 50 т</w:t>
      </w:r>
    </w:p>
    <w:p>
      <w:pPr>
        <w:pStyle w:val="Normal"/>
        <w:spacing w:lineRule="auto" w:line="360"/>
        <w:jc w:val="center"/>
        <w:rPr>
          <w:rFonts w:ascii="Times New Roman" w:hAnsi="Times New Roman" w:eastAsia="" w:cs="Times New Roman" w:eastAsiaTheme="minorEastAsia"/>
          <w:b/>
          <w:b/>
          <w:sz w:val="48"/>
          <w:szCs w:val="28"/>
          <w:lang w:eastAsia="ru-RU"/>
        </w:rPr>
      </w:pPr>
      <w:r>
        <w:rPr>
          <w:rFonts w:eastAsia="" w:cs="Times New Roman" w:ascii="Times New Roman" w:hAnsi="Times New Roman" w:eastAsiaTheme="minorEastAsia"/>
          <w:b/>
          <w:sz w:val="48"/>
          <w:szCs w:val="28"/>
          <w:lang w:eastAsia="ru-RU"/>
        </w:rPr>
        <w:t>Модель SD0881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SimSun" w:cs="Arial"/>
          <w:b/>
          <w:b/>
          <w:sz w:val="44"/>
          <w:szCs w:val="44"/>
          <w:lang w:eastAsia="zh-CN"/>
        </w:rPr>
      </w:pPr>
      <w:r>
        <w:rPr/>
        <w:drawing>
          <wp:inline distT="0" distB="9525" distL="0" distR="9525">
            <wp:extent cx="3819525" cy="5553075"/>
            <wp:effectExtent l="0" t="0" r="0" b="0"/>
            <wp:docPr id="1" name="Рисунок 1" descr="SD0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SD088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6"/>
          <w:szCs w:val="28"/>
        </w:rPr>
      </w:pPr>
      <w:r>
        <w:rPr>
          <w:rFonts w:cs="Times New Roman" w:ascii="Times New Roman" w:hAnsi="Times New Roman"/>
          <w:b/>
          <w:sz w:val="36"/>
          <w:szCs w:val="28"/>
        </w:rPr>
        <w:t>Руководство по эксплуатации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6"/>
          <w:szCs w:val="28"/>
        </w:rPr>
      </w:pPr>
      <w:r>
        <w:rPr>
          <w:rFonts w:cs="Times New Roman" w:ascii="Times New Roman" w:hAnsi="Times New Roman"/>
          <w:b/>
          <w:sz w:val="36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Важная информация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1.1 Техника безопасности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1.1.1 Предупреждающие знаки, используемые в данном руководстве 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Нижеприведенные предупреждающие знаки указывают на потенциальную опасность при работе с оборудованием. Данные знаки обозначают степень опасности при работе с оборудованием и также описывают необходимые меры для предотвращения несчастных случаев. </w:t>
      </w:r>
      <w:r>
        <w:rPr>
          <w:rFonts w:cs="Times New Roman" w:ascii="Times New Roman" w:hAnsi="Times New Roman"/>
          <w:color w:val="0000FF"/>
          <w:sz w:val="28"/>
          <w:szCs w:val="28"/>
        </w:rPr>
        <w:t xml:space="preserve">  </w:t>
      </w:r>
    </w:p>
    <w:tbl>
      <w:tblPr>
        <w:tblW w:w="9065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263"/>
        <w:gridCol w:w="1634"/>
        <w:gridCol w:w="5168"/>
      </w:tblGrid>
      <w:tr>
        <w:trPr/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Знак </w:t>
            </w:r>
          </w:p>
        </w:tc>
        <w:tc>
          <w:tcPr>
            <w:tcW w:w="5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Описание </w:t>
            </w:r>
          </w:p>
        </w:tc>
      </w:tr>
      <w:tr>
        <w:trPr/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Опасность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/>
              <w:drawing>
                <wp:inline distT="0" distB="0" distL="0" distR="9525">
                  <wp:extent cx="733425" cy="285750"/>
                  <wp:effectExtent l="0" t="0" r="0" b="0"/>
                  <wp:docPr id="2" name="Рисунок 6" descr="danger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6" descr="danger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  <w:lang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Данный знак оповещает о неминуемой опасной ситуации, которая, если не предотвратить ее, приведет к смерти или же серьезным увечьям.  </w:t>
            </w:r>
            <w:r>
              <w:rPr>
                <w:rFonts w:cs="Times New Roman" w:ascii="Times New Roman" w:hAnsi="Times New Roman"/>
                <w:color w:val="0000FF"/>
                <w:sz w:val="28"/>
                <w:szCs w:val="28"/>
              </w:rPr>
              <w:t xml:space="preserve"> </w:t>
            </w:r>
          </w:p>
        </w:tc>
      </w:tr>
      <w:tr>
        <w:trPr/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zh-CN"/>
              </w:rPr>
              <w:t>Внимание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/>
              <w:drawing>
                <wp:inline distT="0" distB="0" distL="0" distR="9525">
                  <wp:extent cx="676275" cy="285750"/>
                  <wp:effectExtent l="0" t="0" r="0" b="0"/>
                  <wp:docPr id="3" name="Рисунок 5" descr="warning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5" descr="warning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  <w:lang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Данный знак оповещает о потенциально опасной ситуации, которая, если не предотвратить ее, может привести к смерти или же серьезным увечьям. </w:t>
            </w:r>
          </w:p>
        </w:tc>
      </w:tr>
      <w:tr>
        <w:trPr/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Предупреждение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/>
              <w:drawing>
                <wp:inline distT="0" distB="0" distL="0" distR="9525">
                  <wp:extent cx="733425" cy="285750"/>
                  <wp:effectExtent l="0" t="0" r="0" b="0"/>
                  <wp:docPr id="4" name="Рисунок 4" descr="caution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aution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  <w:lang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Данный знак оповещает о потенциально опасной ситуации, которая, если не предотвратить ее, может привести к легким или средней тяжести увечьям. </w:t>
            </w:r>
          </w:p>
        </w:tc>
      </w:tr>
      <w:tr>
        <w:trPr/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Примечание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ind w:firstLine="281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NOTE:</w:t>
            </w:r>
          </w:p>
        </w:tc>
        <w:tc>
          <w:tcPr>
            <w:tcW w:w="5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  <w:lang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Дополнительная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информация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  <w:lang w:val="en-US" w:eastAsia="zh-CN"/>
        </w:rPr>
      </w:pPr>
      <w:r>
        <w:rPr>
          <w:rFonts w:cs="Times New Roman" w:ascii="Times New Roman" w:hAnsi="Times New Roman"/>
          <w:sz w:val="28"/>
          <w:szCs w:val="28"/>
          <w:lang w:val="en-US" w:eastAsia="zh-CN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1.1.2 </w:t>
      </w:r>
      <w:r>
        <w:rPr>
          <w:rFonts w:cs="Times New Roman" w:ascii="Times New Roman" w:hAnsi="Times New Roman"/>
          <w:b/>
          <w:sz w:val="28"/>
          <w:szCs w:val="28"/>
        </w:rPr>
        <w:t>Требования безопасности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Важно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Внимательно прочтите и строго следуйте всем требованиям безопасности.</w:t>
      </w:r>
    </w:p>
    <w:p>
      <w:pPr>
        <w:pStyle w:val="Normal"/>
        <w:rPr>
          <w:rFonts w:ascii="Times New Roman" w:hAnsi="Times New Roman" w:cs="Times New Roman"/>
          <w:b/>
          <w:b/>
          <w:color w:val="0000FF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Потенциальный пользователь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Данное руководство по эксплуатации предназначено для всех лиц, которые занимаются установкой, конфигурацией или обслуживанием данного оборудования.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Применение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помощи гидравлического пресса можно проводить ТОЛЬКО следующие виды работ: выпрессовка и запрессовка подшипников, гибка и правка металлических элементов автомобиля, мелкая штамповка, калибровка.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Персонал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Работать на оборудовании, устанавливать, и обслуживать данное оборудование должен только квалифицированный специалист, который знаком с требованиями безопасности. 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color w:val="0000FF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1.1.3 Опасные ситуации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1085850" cy="458470"/>
            <wp:effectExtent l="0" t="0" r="0" b="0"/>
            <wp:docPr id="5" name="Рисунок 3" descr="warning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warning1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Специалист, отвечающий за безопасность рабочего процесса, должен детально изучить руководство перед тем, как приступать к ремонту.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Основные правила техники безопасности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/>
        <w:drawing>
          <wp:inline distT="0" distB="0" distL="0" distR="0">
            <wp:extent cx="1124585" cy="438150"/>
            <wp:effectExtent l="0" t="0" r="0" b="0"/>
            <wp:docPr id="6" name="Рисунок 2" descr="danger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 descr="danger1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Невыполнение следующих указаний может привести к смерти или же серьезным увечьям. 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 Проверка и профилактический ремонт должны проводиться двумя или более специалистами. 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Внимательно прочтите инструкцию по технике безопасности.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 Внимательно прочтите все прилагаемые инструкции.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4. Размещайте предупреждающие знаки так, чтобы каждый мог понять, что в данный момент происходит проверка или ремонт оборудования. 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 Рядом с рабочим местом всегда должен быть список телефонных номеров на случай ЧС.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6. Изучите порядок действий при возникновении ЧС, узнайте, где хранится аптечка первой помощи и огнетушитель. Также ознакомьтесь с правилами пользования огнетушителя.  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7. Предупредите об опасности всех людей, находящихся рядом с оборудованием, о том, что вы работаете на оборудовании, находящимся на проверке или профилактическом ремонте.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8. Всегда используйте подходящие инструменты для ремонта и проверки оборудования. До начала работы на оборудовании проверьте, не остались ли какие-либо инструменты внутри. В целях безопасности НИКОГДА не пытайтесь удалить оставленные инструменты во время работы оборудования!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9. Оператор оборудования должен носить защитную одежду, перчатки, защитный шлем и специальную обувь.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10. Для предотвращения травм спины не переносите, не передвигайте тяжелые детали самостоятельно без посторонней помощи.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11.Перед включением оборудования предупредите об опасности людей, находящихся вблизи. 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12. Будьте осторожны, чтобы вас не защемило между подвижными частями оборудования. 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13. Перемещайте оборудование только с помощью специальных транспортеров.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14. Во избежание несчастных случаев всегда будьте в курсе текущих ремонтных работ оборудования.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1.1.4 Правила техники безопасности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953135" cy="371475"/>
            <wp:effectExtent l="0" t="0" r="0" b="0"/>
            <wp:docPr id="7" name="Рисунок 10" descr="danger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0" descr="danger1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 Перед ремонтом ОБЯЗАТЕЛЬНО сбросьте давление. Во время сброса давления стойте на противоположной стороне от нагнетателя.    </w:t>
      </w:r>
    </w:p>
    <w:p>
      <w:pPr>
        <w:pStyle w:val="Normal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 Если необходимо заменить пресс-форму, обязательно наденьте перчатки и используйте подходящие инструменты, чтобы не получить увечий. 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Примечание</w:t>
      </w:r>
      <w:r>
        <w:rPr>
          <w:rFonts w:cs="Times New Roman" w:ascii="Times New Roman" w:hAnsi="Times New Roman"/>
          <w:sz w:val="28"/>
          <w:szCs w:val="28"/>
        </w:rPr>
        <w:t>: Немедленно прекратите эксплуатацию, если заметили какие-либо неполадки в работе оборудования. Свяжитесь с сервисным инженером. Не пользуйтесь оборудованием без разрешения сервисного инженера.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4445">
            <wp:extent cx="929005" cy="361950"/>
            <wp:effectExtent l="0" t="0" r="0" b="0"/>
            <wp:docPr id="8" name="Рисунок 9" descr="caution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caution1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Будьте осторожны, когда видите данный знак.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 данному оборудованию прилагается лист безопасности </w:t>
      </w:r>
      <w:r>
        <w:rPr>
          <w:rFonts w:cs="Times New Roman" w:ascii="Times New Roman" w:hAnsi="Times New Roman"/>
          <w:sz w:val="28"/>
          <w:szCs w:val="28"/>
          <w:lang w:val="en-US"/>
        </w:rPr>
        <w:t>MSDS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Уведомление листа безопасности </w:t>
      </w:r>
      <w:r>
        <w:rPr>
          <w:rFonts w:cs="Times New Roman" w:ascii="Times New Roman" w:hAnsi="Times New Roman"/>
          <w:sz w:val="28"/>
          <w:szCs w:val="28"/>
          <w:lang w:val="en-US"/>
        </w:rPr>
        <w:t>MSDS</w:t>
      </w:r>
      <w:r>
        <w:rPr>
          <w:rFonts w:cs="Times New Roman" w:ascii="Times New Roman" w:hAnsi="Times New Roman"/>
          <w:sz w:val="28"/>
          <w:szCs w:val="28"/>
        </w:rPr>
        <w:t>: смазочное масло, рекомендуемое поставщиком, должно быть помещено в подходящее место.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color w:val="0000FF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color w:val="0000FF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1.1.5 Опасные ситуации</w:t>
      </w:r>
      <w:r>
        <w:rPr>
          <w:rFonts w:cs="Times New Roman" w:ascii="Times New Roman" w:hAnsi="Times New Roman"/>
          <w:b/>
          <w:color w:val="0000FF"/>
          <w:sz w:val="28"/>
          <w:szCs w:val="28"/>
        </w:rPr>
        <w:t xml:space="preserve">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3175" distL="0" distR="0">
            <wp:extent cx="895350" cy="378460"/>
            <wp:effectExtent l="0" t="0" r="0" b="0"/>
            <wp:docPr id="9" name="Рисунок 8" descr="warning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warning1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данном разделе описываются примеры опасных ситуаций, которые могут возникнуть не только во время работы на оборудовании, но и во время его проверки и ремонта. Внимательно прочтите нижеприведенные инструкции!  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color w:val="0000FF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1.1.6 Загрязнение окружающей среды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Если вещества, которые вы используете, попадают в перечень опасных для окружающей среды веществ, то следуйте указаниям по утилизации таких веществ.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5715" distL="0" distR="0">
            <wp:extent cx="933450" cy="394335"/>
            <wp:effectExtent l="0" t="0" r="0" b="0"/>
            <wp:docPr id="10" name="Рисунок 7" descr="warning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7" descr="warning1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Перед тем, как включить питание оборудования, убедитесь, что нет угрозы для людей, работающих рядом с оборудованием.</w:t>
      </w:r>
    </w:p>
    <w:p>
      <w:pPr>
        <w:pStyle w:val="Normal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  <w:t>1.2 Предупредительные надписи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Ниже приведены наклейки-предупреждения, прилагаемые к данному оборудованию.</w:t>
      </w:r>
    </w:p>
    <w:tbl>
      <w:tblPr>
        <w:tblW w:w="8767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16"/>
        <w:gridCol w:w="4475"/>
        <w:gridCol w:w="3476"/>
      </w:tblGrid>
      <w:tr>
        <w:trPr>
          <w:trHeight w:val="1371" w:hRule="atLeast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/>
              <w:drawing>
                <wp:inline distT="0" distB="0" distL="0" distR="9525">
                  <wp:extent cx="942975" cy="895350"/>
                  <wp:effectExtent l="0" t="0" r="0" b="0"/>
                  <wp:docPr id="11" name="Рисунок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Осторожно. Возможно травмирование рук. </w:t>
            </w:r>
          </w:p>
        </w:tc>
      </w:tr>
      <w:tr>
        <w:trPr>
          <w:trHeight w:val="1363" w:hRule="atLeast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/>
              <w:drawing>
                <wp:inline distT="0" distB="0" distL="0" distR="9525">
                  <wp:extent cx="752475" cy="895350"/>
                  <wp:effectExtent l="0" t="0" r="0" b="0"/>
                  <wp:docPr id="12" name="Рисунок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Прочитайте инструкцию. </w:t>
            </w:r>
          </w:p>
        </w:tc>
      </w:tr>
      <w:tr>
        <w:trPr>
          <w:trHeight w:val="317" w:hRule="atLeast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/>
              <w:drawing>
                <wp:inline distT="0" distB="9525" distL="0" distR="0">
                  <wp:extent cx="971550" cy="904875"/>
                  <wp:effectExtent l="0" t="0" r="0" b="0"/>
                  <wp:docPr id="13" name="Рисунок 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Обратись к техническому руководству. </w:t>
            </w:r>
          </w:p>
        </w:tc>
      </w:tr>
      <w:tr>
        <w:trPr>
          <w:trHeight w:val="317" w:hRule="atLeast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/>
              <w:drawing>
                <wp:inline distT="0" distB="0" distL="0" distR="0">
                  <wp:extent cx="723900" cy="723900"/>
                  <wp:effectExtent l="0" t="0" r="0" b="0"/>
                  <wp:docPr id="14" name="Рисунок 19" descr="点击看大图及详细资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9" descr="点击看大图及详细资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FF"/>
                <w:sz w:val="28"/>
                <w:szCs w:val="28"/>
                <w:lang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Обязателен защитный костюм.</w:t>
            </w:r>
          </w:p>
        </w:tc>
      </w:tr>
      <w:tr>
        <w:trPr>
          <w:trHeight w:val="302" w:hRule="atLeast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/>
              <w:drawing>
                <wp:inline distT="0" distB="0" distL="0" distR="0">
                  <wp:extent cx="723900" cy="723900"/>
                  <wp:effectExtent l="0" t="0" r="0" b="0"/>
                  <wp:docPr id="15" name="Рисунок 18" descr="点击看大图及详细资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8" descr="点击看大图及详细资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FF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Обязательны защитные перчатки.</w:t>
            </w:r>
          </w:p>
        </w:tc>
      </w:tr>
      <w:tr>
        <w:trPr>
          <w:trHeight w:val="302" w:hRule="atLeast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/>
              <w:drawing>
                <wp:inline distT="0" distB="0" distL="0" distR="0">
                  <wp:extent cx="723900" cy="723900"/>
                  <wp:effectExtent l="0" t="0" r="0" b="0"/>
                  <wp:docPr id="16" name="Рисунок 17" descr="点击看大图及详细资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7" descr="点击看大图及详细资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color w:val="0000FF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Обязателен защитный шлем.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zh-CN"/>
              </w:rPr>
            </w:r>
          </w:p>
        </w:tc>
      </w:tr>
      <w:tr>
        <w:trPr>
          <w:trHeight w:val="317" w:hRule="atLeast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4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/>
              <w:drawing>
                <wp:inline distT="0" distB="0" distL="0" distR="0">
                  <wp:extent cx="723900" cy="723900"/>
                  <wp:effectExtent l="0" t="0" r="0" b="0"/>
                  <wp:docPr id="17" name="Рисунок 16" descr="点击看大图及详细资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点击看大图及详细资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color w:val="0000FF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Обязательна защитная обувь.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zh-CN"/>
              </w:rPr>
            </w:r>
          </w:p>
        </w:tc>
      </w:tr>
      <w:tr>
        <w:trPr>
          <w:trHeight w:val="1187" w:hRule="atLeast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4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/>
              <w:drawing>
                <wp:inline distT="0" distB="9525" distL="0" distR="0">
                  <wp:extent cx="819150" cy="714375"/>
                  <wp:effectExtent l="0" t="0" r="0" b="0"/>
                  <wp:docPr id="18" name="Рисунок 15" descr="点击看大图及详细资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5" descr="点击看大图及详细资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Осторожно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Малозаметное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препятствие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>
        <w:trPr>
          <w:trHeight w:val="1755" w:hRule="atLeast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4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/>
              <w:drawing>
                <wp:inline distT="0" distB="9525" distL="0" distR="9525">
                  <wp:extent cx="2695575" cy="1076325"/>
                  <wp:effectExtent l="0" t="0" r="0" b="0"/>
                  <wp:docPr id="19" name="Рисунок 14" descr="10T台式压机警告标贴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4" descr="10T台式压机警告标贴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Предупреждение.</w:t>
            </w:r>
          </w:p>
        </w:tc>
      </w:tr>
      <w:tr>
        <w:trPr>
          <w:trHeight w:val="165" w:hRule="atLeast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4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/>
              <w:drawing>
                <wp:inline distT="0" distB="9525" distL="0" distR="9525">
                  <wp:extent cx="695325" cy="695325"/>
                  <wp:effectExtent l="0" t="0" r="0" b="0"/>
                  <wp:docPr id="20" name="Рисунок 13" descr="电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3" descr="电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Опасность поражения электрическим током.</w:t>
            </w:r>
          </w:p>
        </w:tc>
      </w:tr>
      <w:tr>
        <w:trPr>
          <w:trHeight w:val="150" w:hRule="atLeast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4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/>
              <w:drawing>
                <wp:inline distT="0" distB="0" distL="0" distR="9525">
                  <wp:extent cx="981075" cy="971550"/>
                  <wp:effectExtent l="0" t="0" r="0" b="0"/>
                  <wp:docPr id="21" name="Рисунок 12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12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Осторожно. Горячая поверхность.</w:t>
            </w:r>
          </w:p>
        </w:tc>
      </w:tr>
      <w:tr>
        <w:trPr>
          <w:trHeight w:val="147" w:hRule="atLeast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4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/>
              <w:drawing>
                <wp:inline distT="0" distB="0" distL="0" distR="0">
                  <wp:extent cx="1009650" cy="990600"/>
                  <wp:effectExtent l="0" t="0" r="0" b="0"/>
                  <wp:docPr id="22" name="Рисунок 11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11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Не прикасаться.</w:t>
            </w:r>
          </w:p>
        </w:tc>
      </w:tr>
    </w:tbl>
    <w:p>
      <w:pPr>
        <w:pStyle w:val="Normal"/>
        <w:rPr>
          <w:rFonts w:ascii="Times New Roman" w:hAnsi="Times New Roman" w:cs="Times New Roman"/>
          <w:color w:val="0000FF"/>
          <w:sz w:val="28"/>
          <w:szCs w:val="28"/>
          <w:lang w:val="en-US" w:eastAsia="zh-CN"/>
        </w:rPr>
      </w:pPr>
      <w:r>
        <w:rPr>
          <w:rFonts w:cs="Times New Roman" w:ascii="Times New Roman" w:hAnsi="Times New Roman"/>
          <w:color w:val="0000FF"/>
          <w:sz w:val="28"/>
          <w:szCs w:val="28"/>
          <w:lang w:val="en-US" w:eastAsia="zh-CN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 Соответствие стандартам</w:t>
      </w:r>
    </w:p>
    <w:tbl>
      <w:tblPr>
        <w:tblW w:w="8940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3257"/>
        <w:gridCol w:w="2813"/>
        <w:gridCol w:w="2870"/>
      </w:tblGrid>
      <w:tr>
        <w:trPr>
          <w:trHeight w:val="383" w:hRule="atLeast"/>
        </w:trPr>
        <w:tc>
          <w:tcPr>
            <w:tcW w:w="3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Директива ЕС</w:t>
            </w:r>
          </w:p>
        </w:tc>
        <w:tc>
          <w:tcPr>
            <w:tcW w:w="2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Гарантия производителя</w:t>
            </w:r>
          </w:p>
        </w:tc>
        <w:tc>
          <w:tcPr>
            <w:tcW w:w="2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Согласованный стандарт</w:t>
            </w:r>
          </w:p>
        </w:tc>
      </w:tr>
      <w:tr>
        <w:trPr>
          <w:trHeight w:val="748" w:hRule="atLeast"/>
        </w:trPr>
        <w:tc>
          <w:tcPr>
            <w:tcW w:w="3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2006/42/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ЕС 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Машины, механизмы и машинное оборудование</w:t>
            </w:r>
          </w:p>
        </w:tc>
        <w:tc>
          <w:tcPr>
            <w:tcW w:w="2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zh-CN"/>
              </w:rPr>
            </w:r>
          </w:p>
        </w:tc>
        <w:tc>
          <w:tcPr>
            <w:tcW w:w="2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val="en-US"/>
              </w:rPr>
              <w:t>EN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60204-1:2006 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FF00FF"/>
                <w:sz w:val="28"/>
                <w:szCs w:val="28"/>
                <w:lang w:eastAsia="zh-CN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Безопасность машин. Электрооборудование машин</w:t>
            </w:r>
          </w:p>
        </w:tc>
      </w:tr>
    </w:tbl>
    <w:p>
      <w:pPr>
        <w:pStyle w:val="Normal"/>
        <w:rPr>
          <w:rFonts w:ascii="Times New Roman" w:hAnsi="Times New Roman" w:cs="Times New Roman"/>
          <w:color w:val="0000FF"/>
          <w:sz w:val="28"/>
          <w:szCs w:val="28"/>
          <w:lang w:eastAsia="zh-CN"/>
        </w:rPr>
      </w:pPr>
      <w:r>
        <w:rPr>
          <w:rFonts w:cs="Times New Roman" w:ascii="Times New Roman" w:hAnsi="Times New Roman"/>
          <w:color w:val="0000FF"/>
          <w:sz w:val="28"/>
          <w:szCs w:val="28"/>
          <w:lang w:eastAsia="zh-CN"/>
        </w:rPr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color w:val="0000FF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3 Спецификация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3.1 Сфера применения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Основная сфера применения гидравлических прессов - авто и мото сервисы, прочие виды ремонтно - монтажных работ. При помощи гидравлического пресса можно проводить ТОЛЬКО следующие виды работ: выпрессовка и запрессовка подшипников, гибка и правка металлических элементов автомобиля, мелкая штамповка, калибровка. </w:t>
      </w:r>
    </w:p>
    <w:p>
      <w:pPr>
        <w:pStyle w:val="Normal"/>
        <w:ind w:firstLine="560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color w:val="0000FF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3.2 Габаритны и вес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Габариты</w:t>
      </w:r>
      <w:r>
        <w:rPr>
          <w:rFonts w:ascii="Times New Roman" w:hAnsi="Times New Roman" w:cs="Times New Roman"/>
          <w:sz w:val="28"/>
          <w:szCs w:val="28"/>
        </w:rPr>
        <w:t>：</w:t>
      </w:r>
      <w:r>
        <w:rPr>
          <w:rFonts w:cs="Times New Roman" w:ascii="Times New Roman" w:hAnsi="Times New Roman"/>
          <w:sz w:val="28"/>
          <w:szCs w:val="28"/>
        </w:rPr>
        <w:t>988</w:t>
      </w:r>
      <w:r>
        <w:rPr>
          <w:rFonts w:cs="Times New Roman" w:ascii="Times New Roman" w:hAnsi="Times New Roman"/>
          <w:sz w:val="28"/>
          <w:szCs w:val="28"/>
          <w:lang w:val="en-US"/>
        </w:rPr>
        <w:t>x</w:t>
      </w:r>
      <w:r>
        <w:rPr>
          <w:rFonts w:cs="Times New Roman" w:ascii="Times New Roman" w:hAnsi="Times New Roman"/>
          <w:sz w:val="28"/>
          <w:szCs w:val="28"/>
        </w:rPr>
        <w:t>315</w:t>
      </w:r>
      <w:r>
        <w:rPr>
          <w:rFonts w:cs="Times New Roman" w:ascii="Times New Roman" w:hAnsi="Times New Roman"/>
          <w:sz w:val="28"/>
          <w:szCs w:val="28"/>
          <w:lang w:val="en-US"/>
        </w:rPr>
        <w:t>x</w:t>
      </w:r>
      <w:r>
        <w:rPr>
          <w:rFonts w:cs="Times New Roman" w:ascii="Times New Roman" w:hAnsi="Times New Roman"/>
          <w:sz w:val="28"/>
          <w:szCs w:val="28"/>
        </w:rPr>
        <w:t>2020</w:t>
      </w:r>
      <w:r>
        <w:rPr>
          <w:rFonts w:ascii="Times New Roman" w:hAnsi="Times New Roman" w:cs="Times New Roman"/>
          <w:sz w:val="28"/>
          <w:szCs w:val="28"/>
        </w:rPr>
        <w:t>（</w:t>
      </w:r>
      <w:r>
        <w:rPr>
          <w:rFonts w:cs="Times New Roman" w:ascii="Times New Roman" w:hAnsi="Times New Roman"/>
          <w:sz w:val="28"/>
          <w:szCs w:val="28"/>
        </w:rPr>
        <w:t>мм</w:t>
      </w:r>
      <w:r>
        <w:rPr>
          <w:rFonts w:ascii="Times New Roman" w:hAnsi="Times New Roman" w:cs="Times New Roman"/>
          <w:sz w:val="28"/>
          <w:szCs w:val="28"/>
        </w:rPr>
        <w:t>）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Вес</w:t>
      </w:r>
      <w:r>
        <w:rPr>
          <w:rFonts w:ascii="Times New Roman" w:hAnsi="Times New Roman" w:cs="Times New Roman"/>
          <w:sz w:val="28"/>
          <w:szCs w:val="28"/>
        </w:rPr>
        <w:t>：</w:t>
      </w:r>
      <w:r>
        <w:rPr>
          <w:rFonts w:cs="Times New Roman" w:ascii="Times New Roman" w:hAnsi="Times New Roman"/>
          <w:sz w:val="28"/>
          <w:szCs w:val="28"/>
        </w:rPr>
        <w:t>360 кг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3.3 Условия эксплуатации</w:t>
      </w:r>
    </w:p>
    <w:tbl>
      <w:tblPr>
        <w:tblW w:w="8522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839"/>
        <w:gridCol w:w="5682"/>
      </w:tblGrid>
      <w:tr>
        <w:trPr/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Температура эксплуатации</w:t>
            </w:r>
          </w:p>
        </w:tc>
        <w:tc>
          <w:tcPr>
            <w:tcW w:w="5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От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+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5</w:t>
            </w:r>
            <w:r>
              <w:rPr>
                <w:rFonts w:cs="Cambria Math" w:ascii="Cambria Math" w:hAnsi="Cambria Math"/>
                <w:sz w:val="28"/>
                <w:szCs w:val="28"/>
              </w:rPr>
              <w:t>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до +40</w:t>
            </w:r>
            <w:r>
              <w:rPr>
                <w:rFonts w:cs="Cambria Math" w:ascii="Cambria Math" w:hAnsi="Cambria Math"/>
                <w:sz w:val="28"/>
                <w:szCs w:val="28"/>
              </w:rPr>
              <w:t>℃</w:t>
            </w:r>
          </w:p>
        </w:tc>
      </w:tr>
      <w:tr>
        <w:trPr/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Температура хранения</w:t>
            </w:r>
          </w:p>
        </w:tc>
        <w:tc>
          <w:tcPr>
            <w:tcW w:w="5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От -25</w:t>
            </w:r>
            <w:r>
              <w:rPr>
                <w:rFonts w:cs="Cambria Math" w:ascii="Cambria Math" w:hAnsi="Cambria Math"/>
                <w:sz w:val="28"/>
                <w:szCs w:val="28"/>
              </w:rPr>
              <w:t>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до +55</w:t>
            </w:r>
            <w:r>
              <w:rPr>
                <w:rFonts w:cs="Cambria Math" w:ascii="Cambria Math" w:hAnsi="Cambria Math"/>
                <w:sz w:val="28"/>
                <w:szCs w:val="28"/>
              </w:rPr>
              <w:t>℃</w:t>
            </w:r>
          </w:p>
        </w:tc>
      </w:tr>
      <w:tr>
        <w:trPr/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Температура при транспортировке</w:t>
            </w:r>
          </w:p>
        </w:tc>
        <w:tc>
          <w:tcPr>
            <w:tcW w:w="5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От -25</w:t>
            </w:r>
            <w:r>
              <w:rPr>
                <w:rFonts w:cs="Cambria Math" w:ascii="Cambria Math" w:hAnsi="Cambria Math"/>
                <w:sz w:val="28"/>
                <w:szCs w:val="28"/>
              </w:rPr>
              <w:t>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до +70</w:t>
            </w:r>
            <w:r>
              <w:rPr>
                <w:rFonts w:cs="Cambria Math" w:ascii="Cambria Math" w:hAnsi="Cambria Math"/>
                <w:sz w:val="28"/>
                <w:szCs w:val="28"/>
              </w:rPr>
              <w:t>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(не более 24 ч )</w:t>
            </w:r>
          </w:p>
        </w:tc>
      </w:tr>
      <w:tr>
        <w:trPr/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Высота </w:t>
            </w:r>
          </w:p>
        </w:tc>
        <w:tc>
          <w:tcPr>
            <w:tcW w:w="5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Макс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1000 м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>
        <w:trPr/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  <w:lang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Влажность</w:t>
            </w:r>
          </w:p>
        </w:tc>
        <w:tc>
          <w:tcPr>
            <w:tcW w:w="5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ind w:left="140" w:hanging="140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Макс. 85% относит. влажность при 40</w:t>
            </w:r>
            <w:r>
              <w:rPr>
                <w:rFonts w:cs="Cambria Math" w:ascii="Cambria Math" w:hAnsi="Cambria Math"/>
                <w:sz w:val="28"/>
                <w:szCs w:val="28"/>
              </w:rPr>
              <w:t>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без образования конденсата</w:t>
            </w:r>
          </w:p>
        </w:tc>
      </w:tr>
      <w:tr>
        <w:trPr/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Среда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  <w:lang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неогнеопасная, не вызывающая коррозию, свободная от пыли </w:t>
            </w:r>
          </w:p>
        </w:tc>
      </w:tr>
      <w:tr>
        <w:trPr/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Естественное освещение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&gt;300LUX</w:t>
            </w:r>
          </w:p>
        </w:tc>
      </w:tr>
      <w:tr>
        <w:trPr/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Шум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—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3.4 Технические характеристики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3.4.1 Механические детали</w:t>
      </w:r>
      <w:r>
        <w:rPr>
          <w:rFonts w:cs="Times New Roman" w:ascii="Times New Roman" w:hAnsi="Times New Roman"/>
          <w:color w:val="FF0000"/>
          <w:sz w:val="28"/>
          <w:szCs w:val="28"/>
        </w:rPr>
        <w:t xml:space="preserve"> </w:t>
      </w:r>
    </w:p>
    <w:tbl>
      <w:tblPr>
        <w:tblW w:w="8489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967"/>
        <w:gridCol w:w="2668"/>
        <w:gridCol w:w="2717"/>
        <w:gridCol w:w="1006"/>
        <w:gridCol w:w="1131"/>
      </w:tblGrid>
      <w:tr>
        <w:trPr>
          <w:trHeight w:val="454" w:hRule="atLeast"/>
        </w:trPr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Н/п</w:t>
            </w:r>
          </w:p>
        </w:tc>
        <w:tc>
          <w:tcPr>
            <w:tcW w:w="53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Единица измерения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Показатель</w:t>
            </w:r>
          </w:p>
        </w:tc>
      </w:tr>
      <w:tr>
        <w:trPr>
          <w:trHeight w:val="403" w:hRule="atLeast"/>
        </w:trPr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Усилие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50</w:t>
            </w:r>
          </w:p>
        </w:tc>
      </w:tr>
      <w:tr>
        <w:trPr>
          <w:trHeight w:val="423" w:hRule="atLeast"/>
        </w:trPr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Ход штока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мм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200</w:t>
            </w:r>
          </w:p>
        </w:tc>
      </w:tr>
      <w:tr>
        <w:trPr>
          <w:trHeight w:val="416" w:hRule="atLeast"/>
        </w:trPr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Напряжение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zh-CN"/>
              </w:rPr>
              <w:t>В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380</w:t>
            </w:r>
          </w:p>
        </w:tc>
      </w:tr>
      <w:tr>
        <w:trPr>
          <w:trHeight w:val="422" w:hRule="atLeast"/>
        </w:trPr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3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Мощность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кВт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  <w:highlight w:val="yellow"/>
              </w:rPr>
              <w:t>3-</w:t>
            </w:r>
            <w:bookmarkStart w:id="0" w:name="_GoBack"/>
            <w:bookmarkEnd w:id="0"/>
            <w:r>
              <w:rPr>
                <w:sz w:val="28"/>
                <w:szCs w:val="28"/>
                <w:highlight w:val="yellow"/>
              </w:rPr>
              <w:t>3.5</w:t>
            </w:r>
            <w:r>
              <w:rPr>
                <w:sz w:val="28"/>
                <w:szCs w:val="28"/>
              </w:rPr>
              <w:t>кВа</w:t>
            </w:r>
          </w:p>
        </w:tc>
      </w:tr>
      <w:tr>
        <w:trPr>
          <w:trHeight w:val="454" w:hRule="atLeast"/>
        </w:trPr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3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Рабочий диапазон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мм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0~1018</w:t>
            </w:r>
          </w:p>
        </w:tc>
      </w:tr>
      <w:tr>
        <w:trPr>
          <w:trHeight w:val="454" w:hRule="atLeast"/>
          <w:cantSplit w:val="true"/>
        </w:trPr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53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Скорость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мм/с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 w:eastAsia="zh-CN"/>
              </w:rPr>
            </w:pPr>
            <w:r>
              <w:rPr>
                <w:rFonts w:cs="Courier New" w:ascii="Courier New" w:hAnsi="Courier New"/>
                <w:color w:val="000000"/>
                <w:sz w:val="27"/>
                <w:szCs w:val="27"/>
                <w:shd w:fill="F8FBFD" w:val="clear"/>
              </w:rPr>
              <w:t>Опускание: 25 с.</w:t>
            </w:r>
            <w:r>
              <w:rPr>
                <w:rFonts w:cs="Courier New" w:ascii="Courier New" w:hAnsi="Courier New"/>
                <w:color w:val="000000"/>
                <w:sz w:val="27"/>
                <w:szCs w:val="27"/>
              </w:rPr>
              <w:br/>
            </w:r>
            <w:r>
              <w:rPr>
                <w:rFonts w:cs="Courier New" w:ascii="Courier New" w:hAnsi="Courier New"/>
                <w:color w:val="000000"/>
                <w:sz w:val="27"/>
                <w:szCs w:val="27"/>
                <w:shd w:fill="F8FBFD" w:val="clear"/>
              </w:rPr>
              <w:t>Возврат: 15 с.</w:t>
            </w:r>
          </w:p>
        </w:tc>
      </w:tr>
      <w:tr>
        <w:trPr>
          <w:trHeight w:val="454" w:hRule="atLeast"/>
          <w:cantSplit w:val="true"/>
        </w:trPr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53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Высота от пола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мм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2020</w:t>
            </w:r>
          </w:p>
        </w:tc>
      </w:tr>
      <w:tr>
        <w:trPr>
          <w:trHeight w:val="340" w:hRule="atLeast"/>
        </w:trPr>
        <w:tc>
          <w:tcPr>
            <w:tcW w:w="96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6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Занимаемая площадь</w:t>
            </w:r>
          </w:p>
        </w:tc>
        <w:tc>
          <w:tcPr>
            <w:tcW w:w="2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Ширина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мм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988</w:t>
            </w:r>
          </w:p>
        </w:tc>
      </w:tr>
      <w:tr>
        <w:trPr>
          <w:trHeight w:val="340" w:hRule="atLeast"/>
          <w:cantSplit w:val="true"/>
        </w:trPr>
        <w:tc>
          <w:tcPr>
            <w:tcW w:w="96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zh-CN"/>
              </w:rPr>
            </w:r>
          </w:p>
        </w:tc>
        <w:tc>
          <w:tcPr>
            <w:tcW w:w="266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zh-CN"/>
              </w:rPr>
            </w:r>
          </w:p>
        </w:tc>
        <w:tc>
          <w:tcPr>
            <w:tcW w:w="2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Длина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мм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315</w:t>
            </w:r>
          </w:p>
        </w:tc>
      </w:tr>
      <w:tr>
        <w:trPr>
          <w:trHeight w:val="454" w:hRule="atLeast"/>
          <w:cantSplit w:val="true"/>
        </w:trPr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53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Брутто-вес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кг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360</w:t>
            </w:r>
          </w:p>
        </w:tc>
      </w:tr>
    </w:tbl>
    <w:p>
      <w:pPr>
        <w:pStyle w:val="Normal"/>
        <w:rPr>
          <w:rFonts w:ascii="Times New Roman" w:hAnsi="Times New Roman" w:cs="Times New Roman"/>
          <w:color w:val="0000FF"/>
          <w:sz w:val="28"/>
          <w:szCs w:val="28"/>
          <w:lang w:val="en-US" w:eastAsia="zh-CN"/>
        </w:rPr>
      </w:pPr>
      <w:r>
        <w:rPr>
          <w:rFonts w:cs="Times New Roman" w:ascii="Times New Roman" w:hAnsi="Times New Roman"/>
          <w:color w:val="0000FF"/>
          <w:sz w:val="28"/>
          <w:szCs w:val="28"/>
          <w:lang w:val="en-US" w:eastAsia="zh-CN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3.5 Деталировка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FF"/>
          <w:sz w:val="28"/>
          <w:szCs w:val="28"/>
          <w:lang w:eastAsia="ru-RU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5760085" cy="5391150"/>
            <wp:effectExtent l="0" t="0" r="0" b="0"/>
            <wp:docPr id="23" name="Рисунок 24" descr="0881爆炸图-50T压机爆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4" descr="0881爆炸图-50T压机爆炸图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0" t="3033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4.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Характеристика мотора</w:t>
      </w:r>
    </w:p>
    <w:p>
      <w:pPr>
        <w:pStyle w:val="ListParagraph"/>
        <w:numPr>
          <w:ilvl w:val="1"/>
          <w:numId w:val="1"/>
        </w:numPr>
        <w:rPr>
          <w:b/>
          <w:b/>
          <w:sz w:val="28"/>
          <w:szCs w:val="28"/>
        </w:rPr>
      </w:pPr>
      <w:r>
        <w:rPr>
          <w:b/>
          <w:sz w:val="28"/>
          <w:szCs w:val="28"/>
          <w:lang w:val="ru-RU"/>
        </w:rPr>
        <w:t>Электропитание</w:t>
      </w:r>
    </w:p>
    <w:p>
      <w:pPr>
        <w:pStyle w:val="ListParagraph"/>
        <w:ind w:left="360" w:hang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Напряжение</w:t>
      </w:r>
      <w:r>
        <w:rPr>
          <w:sz w:val="28"/>
          <w:szCs w:val="28"/>
        </w:rPr>
        <w:t>：</w:t>
      </w:r>
      <w:r>
        <w:rPr>
          <w:sz w:val="28"/>
          <w:szCs w:val="28"/>
        </w:rPr>
        <w:t>380</w:t>
      </w:r>
      <w:r>
        <w:rPr>
          <w:sz w:val="28"/>
          <w:szCs w:val="28"/>
          <w:lang w:val="ru-RU"/>
        </w:rPr>
        <w:t xml:space="preserve"> В</w:t>
      </w:r>
    </w:p>
    <w:p>
      <w:pPr>
        <w:pStyle w:val="ListParagraph"/>
        <w:ind w:left="360" w:hang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Частота</w:t>
      </w:r>
      <w:r>
        <w:rPr>
          <w:sz w:val="28"/>
          <w:szCs w:val="28"/>
        </w:rPr>
        <w:t>：</w:t>
      </w:r>
      <w:r>
        <w:rPr>
          <w:sz w:val="28"/>
          <w:szCs w:val="28"/>
        </w:rPr>
        <w:t>50</w:t>
      </w:r>
      <w:r>
        <w:rPr>
          <w:sz w:val="28"/>
          <w:szCs w:val="28"/>
          <w:lang w:val="ru-RU"/>
        </w:rPr>
        <w:t xml:space="preserve"> Гц</w:t>
      </w:r>
    </w:p>
    <w:p>
      <w:pPr>
        <w:pStyle w:val="ListParagraph"/>
        <w:ind w:left="360" w:hang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Мощность на входе</w:t>
      </w:r>
      <w:r>
        <w:rPr>
          <w:sz w:val="28"/>
          <w:szCs w:val="28"/>
          <w:lang w:val="ru-RU"/>
        </w:rPr>
        <w:t>：</w:t>
      </w:r>
      <w:r>
        <w:rPr>
          <w:sz w:val="28"/>
          <w:szCs w:val="28"/>
          <w:lang w:val="ru-RU"/>
        </w:rPr>
        <w:t>3----3.5кВа</w:t>
      </w:r>
    </w:p>
    <w:p>
      <w:pPr>
        <w:pStyle w:val="ListParagraph"/>
        <w:ind w:left="360" w:hang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Мощность на выходе</w:t>
      </w:r>
      <w:r>
        <w:rPr>
          <w:sz w:val="28"/>
          <w:szCs w:val="28"/>
          <w:lang w:val="ru-RU"/>
        </w:rPr>
        <w:t>：</w:t>
      </w:r>
      <w:r>
        <w:rPr>
          <w:sz w:val="28"/>
          <w:szCs w:val="28"/>
          <w:lang w:val="ru-RU"/>
        </w:rPr>
        <w:t>5</w:t>
      </w:r>
      <w:r>
        <w:rPr>
          <w:sz w:val="28"/>
          <w:szCs w:val="28"/>
        </w:rPr>
        <w:t>A</w:t>
      </w:r>
    </w:p>
    <w:p>
      <w:pPr>
        <w:pStyle w:val="ListParagraph"/>
        <w:ind w:left="360" w:hang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Внешняя температура</w:t>
      </w:r>
      <w:r>
        <w:rPr>
          <w:sz w:val="28"/>
          <w:szCs w:val="28"/>
          <w:lang w:val="ru-RU"/>
        </w:rPr>
        <w:t>：≤</w:t>
      </w:r>
      <w:r>
        <w:rPr>
          <w:sz w:val="28"/>
          <w:szCs w:val="28"/>
          <w:lang w:val="ru-RU"/>
        </w:rPr>
        <w:t>40</w:t>
      </w:r>
      <w:r>
        <w:rPr>
          <w:rFonts w:cs="Cambria Math" w:ascii="Cambria Math" w:hAnsi="Cambria Math"/>
          <w:sz w:val="28"/>
          <w:szCs w:val="28"/>
          <w:lang w:val="ru-RU"/>
        </w:rPr>
        <w:t>℃</w:t>
      </w:r>
      <w:r>
        <w:rPr>
          <w:sz w:val="28"/>
          <w:szCs w:val="28"/>
          <w:lang w:val="ru-RU"/>
        </w:rPr>
        <w:t xml:space="preserve"> </w:t>
      </w:r>
    </w:p>
    <w:p>
      <w:pPr>
        <w:pStyle w:val="ListParagraph"/>
        <w:ind w:left="360" w:hang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Высота над уровнем моря</w:t>
      </w:r>
      <w:r>
        <w:rPr>
          <w:sz w:val="28"/>
          <w:szCs w:val="28"/>
          <w:lang w:val="ru-RU"/>
        </w:rPr>
        <w:t>：≤</w:t>
      </w:r>
      <w:r>
        <w:rPr>
          <w:sz w:val="28"/>
          <w:szCs w:val="28"/>
          <w:lang w:val="ru-RU"/>
        </w:rPr>
        <w:t>1000м</w:t>
      </w:r>
    </w:p>
    <w:p>
      <w:pPr>
        <w:pStyle w:val="ListParagraph"/>
        <w:ind w:left="360" w:hang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ListParagraph"/>
        <w:ind w:left="360" w:hang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ListParagraph"/>
        <w:ind w:left="360" w:hang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ListParagraph"/>
        <w:ind w:left="360" w:hang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ListParagraph"/>
        <w:ind w:left="360" w:hang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ListParagraph"/>
        <w:numPr>
          <w:ilvl w:val="1"/>
          <w:numId w:val="1"/>
        </w:numPr>
        <w:rPr>
          <w:b/>
          <w:b/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Монтаж </w:t>
      </w:r>
    </w:p>
    <w:p>
      <w:pPr>
        <w:pStyle w:val="ListParagraph"/>
        <w:ind w:left="36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  <w:lang w:val="ru-RU"/>
        </w:rPr>
        <w:t>С помощью кабеля подсоедините источник электропитания к прессу, как показано на схеме ниже. Кабель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обязательно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быть </w:t>
      </w:r>
      <w:r>
        <w:rPr>
          <w:sz w:val="28"/>
          <w:szCs w:val="28"/>
        </w:rPr>
        <w:t>BVR 3X1.5mm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 xml:space="preserve">+1PE.  </w:t>
      </w:r>
    </w:p>
    <w:p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i/>
          <w:sz w:val="28"/>
          <w:szCs w:val="28"/>
          <w:lang w:val="ru-RU"/>
        </w:rPr>
        <w:t>Примечание</w:t>
      </w:r>
      <w:r>
        <w:rPr>
          <w:sz w:val="28"/>
          <w:szCs w:val="28"/>
        </w:rPr>
        <w:t>：</w:t>
      </w:r>
    </w:p>
    <w:p>
      <w:pPr>
        <w:pStyle w:val="Normal"/>
        <w:ind w:left="1210" w:hanging="0"/>
        <w:rPr>
          <w:rFonts w:ascii="Times New Roman" w:hAnsi="Times New Roman" w:cs="Times New Roman"/>
          <w:color w:val="00B0F0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</w:rPr>
        <w:t>Обязательно сделайте заземление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. </w:t>
      </w:r>
    </w:p>
    <w:p>
      <w:pPr>
        <w:pStyle w:val="Normal"/>
        <w:ind w:left="1210" w:hanging="0"/>
        <w:rPr>
          <w:rFonts w:ascii="Times New Roman" w:hAnsi="Times New Roman" w:cs="Times New Roman"/>
          <w:color w:val="00B0F0"/>
          <w:sz w:val="28"/>
          <w:szCs w:val="28"/>
        </w:rPr>
      </w:pPr>
      <w:r>
        <w:rPr/>
        <w:drawing>
          <wp:inline distT="0" distB="9525" distL="0" distR="0">
            <wp:extent cx="5276850" cy="3895725"/>
            <wp:effectExtent l="0" t="0" r="0" b="0"/>
            <wp:docPr id="24" name="Рисунок 23" descr="用户电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用户电源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  <w:lang w:val="ru-RU"/>
        </w:rPr>
        <w:t>Наладка</w:t>
      </w:r>
      <w:r>
        <w:rPr>
          <w:sz w:val="28"/>
          <w:szCs w:val="28"/>
        </w:rPr>
        <w:t>：</w:t>
      </w:r>
    </w:p>
    <w:p>
      <w:pPr>
        <w:pStyle w:val="ListParagraph"/>
        <w:ind w:left="1080" w:hanging="0"/>
        <w:rPr>
          <w:color w:val="00B0F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Когда кабель подсоединен, переместите переключатель в положение "</w:t>
      </w:r>
      <w:r>
        <w:rPr>
          <w:sz w:val="28"/>
          <w:szCs w:val="28"/>
        </w:rPr>
        <w:t>ON</w:t>
      </w:r>
      <w:r>
        <w:rPr>
          <w:sz w:val="28"/>
          <w:szCs w:val="28"/>
          <w:lang w:val="ru-RU"/>
        </w:rPr>
        <w:t xml:space="preserve">". Если мотор крутится по часовой стрелке, то подсоединение кабелей выполнено верно. В противном случае нужно поменять любые два кабеля из </w:t>
      </w:r>
      <w:r>
        <w:rPr>
          <w:sz w:val="28"/>
          <w:szCs w:val="28"/>
        </w:rPr>
        <w:t>L</w:t>
      </w:r>
      <w:r>
        <w:rPr>
          <w:sz w:val="28"/>
          <w:szCs w:val="28"/>
          <w:lang w:val="ru-RU"/>
        </w:rPr>
        <w:t>1,</w:t>
      </w:r>
      <w:r>
        <w:rPr>
          <w:sz w:val="28"/>
          <w:szCs w:val="28"/>
        </w:rPr>
        <w:t>L</w:t>
      </w:r>
      <w:r>
        <w:rPr>
          <w:sz w:val="28"/>
          <w:szCs w:val="28"/>
          <w:lang w:val="ru-RU"/>
        </w:rPr>
        <w:t>2,</w:t>
      </w:r>
      <w:r>
        <w:rPr>
          <w:sz w:val="28"/>
          <w:szCs w:val="28"/>
        </w:rPr>
        <w:t>L</w:t>
      </w:r>
      <w:r>
        <w:rPr>
          <w:sz w:val="28"/>
          <w:szCs w:val="28"/>
          <w:lang w:val="ru-RU"/>
        </w:rPr>
        <w:t xml:space="preserve">3. </w:t>
      </w:r>
    </w:p>
    <w:p>
      <w:pPr>
        <w:pStyle w:val="Normal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cs="Times New Roman" w:ascii="Times New Roman" w:hAnsi="Times New Roman"/>
          <w:color w:val="00B0F0"/>
          <w:sz w:val="28"/>
          <w:szCs w:val="28"/>
        </w:rPr>
      </w:r>
    </w:p>
    <w:p>
      <w:pPr>
        <w:pStyle w:val="ListParagraph"/>
        <w:numPr>
          <w:ilvl w:val="1"/>
          <w:numId w:val="1"/>
        </w:numPr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Внимание</w:t>
      </w:r>
      <w:r>
        <w:rPr>
          <w:sz w:val="28"/>
          <w:szCs w:val="28"/>
          <w:lang w:val="ru-RU"/>
        </w:rPr>
        <w:t xml:space="preserve">: наладка должна производиться при выключенном источнике питания. </w:t>
      </w:r>
    </w:p>
    <w:p>
      <w:pPr>
        <w:pStyle w:val="Normal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cs="Times New Roman" w:ascii="Times New Roman" w:hAnsi="Times New Roman"/>
          <w:color w:val="00B0F0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cs="Times New Roman" w:ascii="Times New Roman" w:hAnsi="Times New Roman"/>
          <w:color w:val="00B0F0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cs="Times New Roman" w:ascii="Times New Roman" w:hAnsi="Times New Roman"/>
          <w:color w:val="00B0F0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cs="Times New Roman" w:ascii="Times New Roman" w:hAnsi="Times New Roman"/>
          <w:color w:val="00B0F0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cs="Times New Roman" w:ascii="Times New Roman" w:hAnsi="Times New Roman"/>
          <w:color w:val="00B0F0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5. </w:t>
      </w:r>
      <w:r>
        <w:rPr>
          <w:rFonts w:cs="Times New Roman" w:ascii="Times New Roman" w:hAnsi="Times New Roman"/>
          <w:b/>
          <w:sz w:val="28"/>
          <w:szCs w:val="28"/>
        </w:rPr>
        <w:t>Подготовка перед использованием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5.1 </w:t>
      </w:r>
      <w:r>
        <w:rPr>
          <w:rFonts w:cs="Times New Roman" w:ascii="Times New Roman" w:hAnsi="Times New Roman"/>
          <w:b/>
          <w:sz w:val="28"/>
          <w:szCs w:val="28"/>
        </w:rPr>
        <w:t xml:space="preserve">Транспортировка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 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/>
        <w:drawing>
          <wp:inline distT="0" distB="0" distL="0" distR="0">
            <wp:extent cx="901700" cy="381000"/>
            <wp:effectExtent l="0" t="0" r="0" b="0"/>
            <wp:docPr id="25" name="Рисунок 32" descr="warning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32" descr="warning1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Для транспортировки используйте специальное оборудование. Габариты и вес оборудования указаны в таблице в разделе 3.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9525" distL="0" distR="0">
            <wp:extent cx="3505200" cy="4962525"/>
            <wp:effectExtent l="0" t="0" r="0" b="0"/>
            <wp:docPr id="26" name="Рисунок 31" descr="复件 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31" descr="复件 clip_image00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Детали гидравлики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5.2 Условия эксплуатации 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Оборудование должно использоваться только в неогнеопасной, не вызывающей коррозию, свободной от пыли среде.</w:t>
      </w:r>
      <w:r>
        <w:rPr>
          <w:rFonts w:cs="Times New Roman" w:ascii="Times New Roman" w:hAnsi="Times New Roman"/>
          <w:color w:val="FF0000"/>
          <w:sz w:val="28"/>
          <w:szCs w:val="28"/>
        </w:rPr>
        <w:t xml:space="preserve">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895350" cy="348615"/>
            <wp:effectExtent l="0" t="0" r="0" b="0"/>
            <wp:docPr id="27" name="Рисунок 30" descr="caution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30" descr="caution1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При эксплуатации оборудования радиус свободного пространства должен составлять 1000 мм. 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/>
        <w:drawing>
          <wp:inline distT="0" distB="5080" distL="0" distR="0">
            <wp:extent cx="4200525" cy="3919220"/>
            <wp:effectExtent l="0" t="0" r="0" b="0"/>
            <wp:docPr id="28" name="Рисунок 29" descr="工作区域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9" descr="工作区域示意图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5.3 Распаковка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4445">
            <wp:extent cx="929005" cy="361950"/>
            <wp:effectExtent l="0" t="0" r="0" b="0"/>
            <wp:docPr id="29" name="Рисунок 28" descr="caution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8" descr="caution1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При распаковке используйте  подходящие инструменты, наденьте защитную одежду, перчатки, защитный шлем. 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Проверьте наличие комплектующих согласно перечню деталей. В случае несоответствия перечню свяжитесь с производителем.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5.4 Утилизация упаковки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Упаковка состоит из ПВХ-пленки и картонной коробки. Утилизация упаковки должна быть выполнена покупателем в соответствии со всеми требованиями.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color w:val="0000FF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5.5 Установка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5080">
            <wp:extent cx="1100455" cy="428625"/>
            <wp:effectExtent l="0" t="0" r="0" b="0"/>
            <wp:docPr id="30" name="Рисунок 27" descr="caution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7" descr="caution11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Установка оборудования и ввод в эксплуатацию должны производиться только квалифицированным специалистом. 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Все соответствующие требования безопасности должны быть соблюдены!  </w:t>
      </w:r>
    </w:p>
    <w:p>
      <w:pPr>
        <w:pStyle w:val="Normal"/>
        <w:widowControl w:val="false"/>
        <w:numPr>
          <w:ilvl w:val="0"/>
          <w:numId w:val="3"/>
        </w:numPr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Подсоединение электропроводки</w:t>
      </w:r>
    </w:p>
    <w:p>
      <w:pPr>
        <w:pStyle w:val="Normal"/>
        <w:ind w:firstLine="5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Внимание: </w:t>
      </w:r>
    </w:p>
    <w:p>
      <w:pPr>
        <w:pStyle w:val="Normal"/>
        <w:widowControl w:val="false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Напряжение должно быть 380 В с трехфазной системой переменного тока. </w:t>
      </w:r>
    </w:p>
    <w:p>
      <w:pPr>
        <w:pStyle w:val="Normal"/>
        <w:widowControl w:val="false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Площадь сечения электрического провода должна быть не меньше 2 кв.мм.</w:t>
      </w:r>
    </w:p>
    <w:p>
      <w:pPr>
        <w:pStyle w:val="Normal"/>
        <w:widowControl w:val="false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Подсоединение электрического провода должно быть выполнено в соответствии с стандартом </w:t>
      </w:r>
      <w:r>
        <w:rPr>
          <w:rFonts w:cs="Times New Roman" w:ascii="Times New Roman" w:hAnsi="Times New Roman"/>
          <w:sz w:val="28"/>
          <w:szCs w:val="28"/>
          <w:lang w:val="en-US"/>
        </w:rPr>
        <w:t>EN</w:t>
      </w:r>
      <w:r>
        <w:rPr>
          <w:rFonts w:cs="Times New Roman" w:ascii="Times New Roman" w:hAnsi="Times New Roman"/>
          <w:sz w:val="28"/>
          <w:szCs w:val="28"/>
        </w:rPr>
        <w:t>60204-1.</w:t>
      </w:r>
    </w:p>
    <w:p>
      <w:pPr>
        <w:pStyle w:val="Normal"/>
        <w:widowControl w:val="false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Перед подсоединением электрического провода внимательно прочитайте инструкцию. </w:t>
      </w:r>
    </w:p>
    <w:p>
      <w:pPr>
        <w:pStyle w:val="Normal"/>
        <w:widowControl w:val="false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Подсоединение электрического провода должно выполняться только квалифицированным специалистом. </w:t>
      </w:r>
    </w:p>
    <w:p>
      <w:pPr>
        <w:pStyle w:val="Normal"/>
        <w:widowControl w:val="false"/>
        <w:numPr>
          <w:ilvl w:val="0"/>
          <w:numId w:val="4"/>
        </w:numPr>
        <w:spacing w:lineRule="auto" w:line="240" w:before="0" w:after="0"/>
        <w:ind w:left="4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Подсоедините электрический провод, руководствуясь следующей схемой. </w:t>
      </w:r>
      <w:r>
        <w:rPr>
          <w:rFonts w:cs="Times New Roman" w:ascii="Times New Roman" w:hAnsi="Times New Roman"/>
          <w:sz w:val="28"/>
          <w:szCs w:val="28"/>
        </w:rPr>
        <w:drawing>
          <wp:inline distT="0" distB="0" distL="0" distR="9525">
            <wp:extent cx="5076825" cy="3752850"/>
            <wp:effectExtent l="0" t="0" r="0" b="0"/>
            <wp:docPr id="31" name="Рисунок 26" descr="用户电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26" descr="用户电源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Сборка электрического насоса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Поместите электрический насос на стол пресса (руководствуйтесь схемой ниже). </w:t>
      </w:r>
    </w:p>
    <w:p>
      <w:pPr>
        <w:pStyle w:val="Normal"/>
        <w:widowControl w:val="false"/>
        <w:numPr>
          <w:ilvl w:val="0"/>
          <w:numId w:val="5"/>
        </w:numPr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Удалите заглушку и подсоедините масляный шланг к насосу, как показано на рисунке ниже: </w:t>
      </w:r>
    </w:p>
    <w:p>
      <w:pPr>
        <w:pStyle w:val="Normal"/>
        <w:widowControl w:val="false"/>
        <w:numPr>
          <w:ilvl w:val="0"/>
          <w:numId w:val="5"/>
        </w:numPr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Прикрепите разветвительную коробку к раме пресса с помощью болтов.</w:t>
      </w:r>
    </w:p>
    <w:p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Подсоедините к источнику питания. 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Обязательно закрепите пресс на полу с помощью анкерного болта.  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5.6 Проверка оборудования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1149350" cy="447675"/>
            <wp:effectExtent l="0" t="0" r="0" b="0"/>
            <wp:docPr id="32" name="Рисунок 25" descr="caution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25" descr="caution11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numPr>
          <w:ilvl w:val="0"/>
          <w:numId w:val="6"/>
        </w:numPr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Очистите оборудование от пыли и загрязнений. </w:t>
      </w:r>
    </w:p>
    <w:p>
      <w:pPr>
        <w:pStyle w:val="ListParagraph"/>
        <w:numPr>
          <w:ilvl w:val="0"/>
          <w:numId w:val="7"/>
        </w:numPr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Проверьте все детали. При обнаружении поврежденных деталей прекратите эксплуатацию и немедленно свяжитесь с поставщиком. </w:t>
      </w:r>
    </w:p>
    <w:p>
      <w:pPr>
        <w:pStyle w:val="ListParagraph"/>
        <w:numPr>
          <w:ilvl w:val="0"/>
          <w:numId w:val="7"/>
        </w:numPr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Откройте спускной клапан на масляном баке и в течение минуты поработайте на оборудовании, чтобы откачать воздух из системы. Закройте клапан. </w:t>
      </w:r>
    </w:p>
    <w:p>
      <w:pPr>
        <w:pStyle w:val="Normal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color w:val="0000FF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6 Эксплуатация</w:t>
      </w:r>
    </w:p>
    <w:p>
      <w:pPr>
        <w:pStyle w:val="Style19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  <w:lang w:val="ru-RU"/>
        </w:rPr>
        <w:t>Поместите упоры-призмы на стол пресса, затем вставьте заготовку в упоры-призмы.</w:t>
      </w:r>
    </w:p>
    <w:p>
      <w:pPr>
        <w:pStyle w:val="Style19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  <w:lang w:val="ru-RU"/>
        </w:rPr>
        <w:t>Включите выключатель.</w:t>
      </w:r>
    </w:p>
    <w:p>
      <w:pPr>
        <w:pStyle w:val="Style19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Переместите пусковой рычаг в положение </w:t>
      </w:r>
      <w:r>
        <w:rPr>
          <w:sz w:val="28"/>
          <w:szCs w:val="28"/>
        </w:rPr>
        <w:t>“A”,</w:t>
      </w:r>
      <w:r>
        <w:rPr>
          <w:sz w:val="28"/>
          <w:szCs w:val="28"/>
          <w:lang w:val="ru-RU"/>
        </w:rPr>
        <w:t xml:space="preserve"> поршень быстро опустится.</w:t>
      </w:r>
      <w:r>
        <w:rPr>
          <w:sz w:val="28"/>
          <w:szCs w:val="28"/>
        </w:rPr>
        <w:t xml:space="preserve">  </w:t>
      </w:r>
    </w:p>
    <w:p>
      <w:pPr>
        <w:pStyle w:val="Style19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  <w:lang w:val="ru-RU"/>
        </w:rPr>
        <w:t>Выровняйте заготовку и гидроцилиндр так, чтобы нагрузка прикладывалась по центру</w:t>
      </w:r>
      <w:r>
        <w:rPr>
          <w:sz w:val="28"/>
          <w:szCs w:val="28"/>
        </w:rPr>
        <w:t>.</w:t>
      </w:r>
    </w:p>
    <w:p>
      <w:pPr>
        <w:pStyle w:val="Normal"/>
        <w:ind w:left="440" w:hanging="0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 завершении работы снимите нагрузку, повернув рычаг в положение “</w:t>
      </w:r>
      <w:r>
        <w:rPr>
          <w:rFonts w:cs="Times New Roman" w:ascii="Times New Roman" w:hAnsi="Times New Roman"/>
          <w:sz w:val="28"/>
          <w:szCs w:val="28"/>
          <w:lang w:val="en-US"/>
        </w:rPr>
        <w:t>B</w:t>
      </w:r>
      <w:r>
        <w:rPr>
          <w:rFonts w:cs="Times New Roman" w:ascii="Times New Roman" w:hAnsi="Times New Roman"/>
          <w:sz w:val="28"/>
          <w:szCs w:val="28"/>
        </w:rPr>
        <w:t>”, поршень вернется в исходное положение.</w:t>
      </w:r>
    </w:p>
    <w:p>
      <w:pPr>
        <w:pStyle w:val="Style19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Как только гидроцилиндр вернется в исходное положение, уберите заготовку со стола пресса. </w:t>
      </w:r>
      <w:r>
        <w:rPr>
          <w:sz w:val="28"/>
          <w:szCs w:val="28"/>
        </w:rPr>
        <w:t xml:space="preserve">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7.Техобслуживание</w:t>
      </w:r>
    </w:p>
    <w:p>
      <w:pPr>
        <w:pStyle w:val="Normal"/>
        <w:ind w:left="5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Проверка состояния оборудования должна выполняться каждый раз перед началом работы.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Очищайте внешние поверхности пресса сухой, чистой и мягкой тряпкой, и периодически смазывайте все соединения и подвижные части легким маслом.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Если пресс не используется, храните его в сухом месте с полностью отведенным гидроцилиндром и поршнем. </w:t>
      </w:r>
    </w:p>
    <w:p>
      <w:pPr>
        <w:pStyle w:val="ListParagraph"/>
        <w:ind w:hang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Проверяйте уровень гидравлического масла: открутите гайку маслоналивного патрубка, которая находится в верхней части бака; при необходимости залейте масло 22#</w:t>
      </w:r>
      <w:r>
        <w:rPr>
          <w:sz w:val="28"/>
          <w:szCs w:val="28"/>
          <w:lang w:val="ru-RU"/>
        </w:rPr>
        <w:t>（</w:t>
      </w:r>
      <w:r>
        <w:rPr>
          <w:sz w:val="28"/>
          <w:szCs w:val="28"/>
        </w:rPr>
        <w:t>ISO</w:t>
      </w:r>
      <w:r>
        <w:rPr>
          <w:sz w:val="28"/>
          <w:szCs w:val="28"/>
          <w:lang w:val="ru-RU"/>
        </w:rPr>
        <w:t xml:space="preserve">6743), после чего завинтите гайку маслоналивного патрубка и стравите воздух из гидросистемы, как это описано в пункте 4.2. </w:t>
      </w:r>
    </w:p>
    <w:p>
      <w:pPr>
        <w:pStyle w:val="ListParagraph"/>
        <w:ind w:hanging="0"/>
        <w:rPr>
          <w:color w:val="0000FF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Ремонт оборудования не должен производиться без разрешения сервисного инженера.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Приложение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A</w:t>
      </w:r>
    </w:p>
    <w:p>
      <w:pPr>
        <w:pStyle w:val="Normal"/>
        <w:rPr>
          <w:rFonts w:ascii="Times New Roman" w:hAnsi="Times New Roman" w:cs="Times New Roman"/>
          <w:b/>
          <w:b/>
          <w:color w:val="0000FF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Деталировка общая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9525" distL="0" distR="9525">
            <wp:extent cx="6315075" cy="5762625"/>
            <wp:effectExtent l="0" t="0" r="0" b="0"/>
            <wp:docPr id="33" name="Рисунок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4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3692" t="12671" r="7594" b="8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Приложение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B</w:t>
      </w:r>
    </w:p>
    <w:p>
      <w:pPr>
        <w:pStyle w:val="Normal"/>
        <w:rPr>
          <w:rFonts w:ascii="Times New Roman" w:hAnsi="Times New Roman" w:cs="Times New Roman"/>
          <w:b/>
          <w:b/>
          <w:color w:val="0000FF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Деталировка насоса с электроприводом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0" distR="9525">
            <wp:extent cx="2657475" cy="7200900"/>
            <wp:effectExtent l="0" t="0" r="0" b="0"/>
            <wp:docPr id="34" name="Рисунок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3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46118" t="12449" r="30563" b="8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6"/>
      <w:footerReference w:type="default" r:id="rId37"/>
      <w:type w:val="nextPage"/>
      <w:pgSz w:w="11906" w:h="16838"/>
      <w:pgMar w:left="1701" w:right="850" w:header="708" w:top="1134" w:footer="708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Cambria Math"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ind w:firstLine="560"/>
      <w:jc w:val="center"/>
      <w:rPr>
        <w:color w:val="FF0000"/>
        <w:sz w:val="28"/>
        <w:szCs w:val="28"/>
      </w:rPr>
    </w:pPr>
    <w:r>
      <w:rPr>
        <w:color w:val="FF0000"/>
        <w:sz w:val="28"/>
        <w:szCs w:val="28"/>
      </w:rPr>
      <w:t xml:space="preserve">Пресс гаражный электрогидравлический Станкоимпорт </w:t>
    </w:r>
    <w:r>
      <w:rPr>
        <w:color w:val="FF0000"/>
        <w:sz w:val="28"/>
        <w:szCs w:val="28"/>
        <w:lang w:val="en-US"/>
      </w:rPr>
      <w:t>SD08</w:t>
    </w:r>
    <w:r>
      <w:rPr>
        <w:color w:val="FF0000"/>
        <w:sz w:val="28"/>
        <w:szCs w:val="28"/>
      </w:rPr>
      <w:t>81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jc w:val="center"/>
      <w:rPr>
        <w:rFonts w:ascii="Times New Roman" w:hAnsi="Times New Roman"/>
        <w:b/>
        <w:b/>
        <w:color w:val="FF0000"/>
      </w:rPr>
    </w:pPr>
    <w:r>
      <w:rPr>
        <w:rFonts w:ascii="Times New Roman" w:hAnsi="Times New Roman"/>
        <w:b/>
        <w:color w:val="FF0000"/>
      </w:rPr>
      <w:t>СТАНКОИМПОРТ – ОБОРУДОВАНИЕ И ИНСТРУМЕНТ ДЛЯ АВТОСЕРВИСА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sz w:val="28"/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">
    <w:lvl w:ilvl="0">
      <w:start w:val="1"/>
      <w:numFmt w:val="decimal"/>
      <w:lvlText w:val="（%1）"/>
      <w:lvlJc w:val="left"/>
      <w:pPr>
        <w:ind w:left="1080" w:hanging="7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cs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lvl w:ilvl="0">
      <w:start w:val="1"/>
      <w:numFmt w:val="decimal"/>
      <w:lvlText w:val="%1)"/>
      <w:lvlJc w:val="left"/>
      <w:pPr>
        <w:ind w:left="780" w:hanging="36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0d18cb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link w:val="a5"/>
    <w:uiPriority w:val="99"/>
    <w:qFormat/>
    <w:rsid w:val="004a5797"/>
    <w:rPr/>
  </w:style>
  <w:style w:type="character" w:styleId="Style16" w:customStyle="1">
    <w:name w:val="Нижний колонтитул Знак"/>
    <w:basedOn w:val="DefaultParagraphFont"/>
    <w:link w:val="a7"/>
    <w:uiPriority w:val="99"/>
    <w:qFormat/>
    <w:rsid w:val="004a5797"/>
    <w:rPr/>
  </w:style>
  <w:style w:type="character" w:styleId="Style17" w:customStyle="1">
    <w:name w:val="Основной текст Знак"/>
    <w:basedOn w:val="DefaultParagraphFont"/>
    <w:link w:val="aa"/>
    <w:semiHidden/>
    <w:qFormat/>
    <w:rsid w:val="0063318f"/>
    <w:rPr>
      <w:rFonts w:ascii="Times New Roman" w:hAnsi="Times New Roman" w:eastAsia="SimSun" w:cs="Times New Roman"/>
      <w:sz w:val="20"/>
      <w:szCs w:val="24"/>
      <w:lang w:val="x-none" w:eastAsia="x-none"/>
    </w:rPr>
  </w:style>
  <w:style w:type="character" w:styleId="ListLabel1">
    <w:name w:val="ListLabel 1"/>
    <w:qFormat/>
    <w:rPr>
      <w:b/>
      <w:sz w:val="28"/>
    </w:rPr>
  </w:style>
  <w:style w:type="paragraph" w:styleId="Style18">
    <w:name w:val="Заголовок"/>
    <w:basedOn w:val="Normal"/>
    <w:next w:val="Style19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9">
    <w:name w:val="Body Text"/>
    <w:basedOn w:val="Normal"/>
    <w:link w:val="ab"/>
    <w:semiHidden/>
    <w:unhideWhenUsed/>
    <w:rsid w:val="0063318f"/>
    <w:pPr>
      <w:widowControl w:val="false"/>
      <w:spacing w:lineRule="auto" w:line="240" w:before="0" w:after="120"/>
      <w:jc w:val="both"/>
    </w:pPr>
    <w:rPr>
      <w:rFonts w:ascii="Times New Roman" w:hAnsi="Times New Roman" w:eastAsia="SimSun" w:cs="Times New Roman"/>
      <w:sz w:val="20"/>
      <w:szCs w:val="24"/>
      <w:lang w:val="x-none" w:eastAsia="x-none"/>
    </w:rPr>
  </w:style>
  <w:style w:type="paragraph" w:styleId="Style20">
    <w:name w:val="List"/>
    <w:basedOn w:val="Style19"/>
    <w:pPr/>
    <w:rPr>
      <w:rFonts w:cs="FreeSans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0d18c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3">
    <w:name w:val="Header"/>
    <w:basedOn w:val="Normal"/>
    <w:link w:val="a6"/>
    <w:uiPriority w:val="99"/>
    <w:unhideWhenUsed/>
    <w:rsid w:val="004a5797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Footer"/>
    <w:basedOn w:val="Normal"/>
    <w:link w:val="a8"/>
    <w:uiPriority w:val="99"/>
    <w:unhideWhenUsed/>
    <w:rsid w:val="004a5797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a03e66"/>
    <w:pPr>
      <w:widowControl w:val="false"/>
      <w:spacing w:lineRule="auto" w:line="240" w:before="0" w:after="0"/>
      <w:ind w:firstLine="420"/>
      <w:jc w:val="both"/>
    </w:pPr>
    <w:rPr>
      <w:rFonts w:ascii="Times New Roman" w:hAnsi="Times New Roman" w:eastAsia="SimSun" w:cs="Times New Roman"/>
      <w:sz w:val="21"/>
      <w:szCs w:val="24"/>
      <w:lang w:val="en-US" w:eastAsia="zh-C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header" Target="header1.xml"/><Relationship Id="rId37" Type="http://schemas.openxmlformats.org/officeDocument/2006/relationships/footer" Target="footer1.xml"/><Relationship Id="rId38" Type="http://schemas.openxmlformats.org/officeDocument/2006/relationships/numbering" Target="numbering.xml"/><Relationship Id="rId39" Type="http://schemas.openxmlformats.org/officeDocument/2006/relationships/fontTable" Target="fontTable.xml"/><Relationship Id="rId40" Type="http://schemas.openxmlformats.org/officeDocument/2006/relationships/settings" Target="settings.xml"/><Relationship Id="rId4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D23EDD9E</Template>
  <TotalTime>433</TotalTime>
  <Application>LibreOffice/5.2.4.1$Linux_x86 LibreOffice_project/20m0$Build-1</Application>
  <Pages>19</Pages>
  <Words>1399</Words>
  <Characters>9497</Characters>
  <CharactersWithSpaces>10708</CharactersWithSpaces>
  <Paragraphs>262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2014-11-20T12:31:00Z</dcterms:created>
  <dc:creator>Stankoimport</dc:creator>
  <dc:description/>
  <dc:language>ru-RU</dc:language>
  <cp:lastModifiedBy/>
  <cp:lastPrinted>2014-11-26T12:03:00Z</cp:lastPrinted>
  <dcterms:modified xsi:type="dcterms:W3CDTF">2018-12-29T10:38:20Z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