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08D" w:rsidRPr="008D46C3" w:rsidRDefault="00B9008D" w:rsidP="00B900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8. Методы контроля и испытаний</w:t>
      </w:r>
    </w:p>
    <w:p w:rsidR="00B9008D" w:rsidRPr="008D46C3" w:rsidRDefault="00B9008D" w:rsidP="00B9008D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Поверка штангенциркулей осуществляется </w:t>
      </w:r>
      <w:r w:rsidRPr="008D46C3">
        <w:rPr>
          <w:rFonts w:ascii="Times New Roman" w:eastAsia="Times New Roman" w:hAnsi="Times New Roman" w:cs="Times New Roman"/>
          <w:lang w:eastAsia="ru-RU"/>
        </w:rPr>
        <w:t>в соответствии с документом «Штангенциркули с отсчетом по нониусу и с цифровым отсчетным устройством торговой марки «</w:t>
      </w:r>
      <w:r w:rsidRPr="008D46C3">
        <w:rPr>
          <w:rFonts w:ascii="Times New Roman" w:eastAsia="Times New Roman" w:hAnsi="Times New Roman" w:cs="Times New Roman"/>
          <w:lang w:val="en-US" w:eastAsia="ru-RU"/>
        </w:rPr>
        <w:t>GRIFF</w:t>
      </w:r>
      <w:r w:rsidRPr="008D46C3">
        <w:rPr>
          <w:rFonts w:ascii="Times New Roman" w:eastAsia="Times New Roman" w:hAnsi="Times New Roman" w:cs="Times New Roman"/>
          <w:lang w:eastAsia="ru-RU"/>
        </w:rPr>
        <w:t xml:space="preserve">». Методика поверки», утвержденным ФГУП «ВНИИМС» 18 декабря </w:t>
      </w:r>
      <w:smartTag w:uri="urn:schemas-microsoft-com:office:smarttags" w:element="metricconverter">
        <w:smartTagPr>
          <w:attr w:name="ProductID" w:val="2013 г"/>
        </w:smartTagPr>
        <w:r w:rsidRPr="008D46C3">
          <w:rPr>
            <w:rFonts w:ascii="Times New Roman" w:eastAsia="Times New Roman" w:hAnsi="Times New Roman" w:cs="Times New Roman"/>
            <w:lang w:eastAsia="ru-RU"/>
          </w:rPr>
          <w:t>2013 г</w:t>
        </w:r>
      </w:smartTag>
      <w:r w:rsidRPr="008D46C3">
        <w:rPr>
          <w:rFonts w:ascii="Times New Roman" w:eastAsia="Times New Roman" w:hAnsi="Times New Roman" w:cs="Times New Roman"/>
          <w:lang w:eastAsia="ru-RU"/>
        </w:rPr>
        <w:t>.</w:t>
      </w:r>
    </w:p>
    <w:p w:rsidR="00B9008D" w:rsidRPr="008D46C3" w:rsidRDefault="00B9008D" w:rsidP="00B9008D">
      <w:pPr>
        <w:spacing w:after="0" w:line="240" w:lineRule="atLeast"/>
        <w:ind w:right="76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Межповерочный интервал устанавливается потребителем в зависимости от интенсивности эксплуатации штангенциркуля, но не реже одного раза в год.</w:t>
      </w:r>
    </w:p>
    <w:p w:rsidR="00B9008D" w:rsidRPr="008D46C3" w:rsidRDefault="00B9008D" w:rsidP="00B900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9008D" w:rsidRPr="008D46C3" w:rsidRDefault="00B9008D" w:rsidP="00B900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12"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9. Гарантии изготовителя</w:t>
      </w:r>
      <w:r w:rsidRPr="008D46C3">
        <w:rPr>
          <w:rFonts w:ascii="Times New Roman" w:eastAsia="Times New Roman" w:hAnsi="Times New Roman" w:cs="Times New Roman"/>
          <w:sz w:val="24"/>
          <w:lang w:eastAsia="ru-RU"/>
        </w:rPr>
        <w:t xml:space="preserve">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9.1. Изготовитель гарантирует соответствие штангенциркуля требованиям </w:t>
      </w:r>
      <w:r w:rsidRPr="008D46C3">
        <w:rPr>
          <w:rFonts w:ascii="Times New Roman" w:eastAsia="Times New Roman" w:hAnsi="Times New Roman" w:cs="Times New Roman"/>
          <w:lang w:eastAsia="ru-RU"/>
        </w:rPr>
        <w:t xml:space="preserve">технической документации фирмы-изготовителя 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при соблюдении условий транспортирования, хранения и эксплуатации.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9.2. Гарантийный срок эксплуатации: 12 месяцев со дня ввода штангенциркуля в эксплуатацию.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9.3. Гарантийный срок хранения: 24 месяца.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9.4. По вопросам гарантийного обслуживания обращаться по адресу: </w:t>
      </w:r>
      <w:r w:rsidRPr="008D46C3">
        <w:rPr>
          <w:rFonts w:ascii="Times New Roman" w:eastAsia="Times New Roman" w:hAnsi="Times New Roman" w:cs="Times New Roman"/>
          <w:lang w:eastAsia="ru-RU"/>
        </w:rPr>
        <w:t xml:space="preserve">129226, Москва, платформа Северянин, владение 14      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тел.:  (499) 707-74-63.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10. Транспортирование и хранение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>Транспортирование и хранение штангенциркуля - по ГОСТ 13762.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11. Сведения о консервации и упаковке</w:t>
      </w:r>
    </w:p>
    <w:p w:rsidR="008D46C3" w:rsidRPr="00CB1ADB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 xml:space="preserve">Штангенциркуль подвергнут консервации и упаковке </w:t>
      </w:r>
      <w:r w:rsidRPr="00CB1ADB">
        <w:rPr>
          <w:rFonts w:ascii="Times New Roman" w:eastAsia="Times New Roman" w:hAnsi="Times New Roman" w:cs="Times New Roman"/>
          <w:lang w:eastAsia="ru-RU"/>
        </w:rPr>
        <w:t>согласно требованиям ГОСТ 9.014 и ГОСТ 13762.</w:t>
      </w:r>
    </w:p>
    <w:p w:rsidR="008D46C3" w:rsidRPr="00CB1ADB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>Срок консервации: 24 месяца.</w:t>
      </w:r>
    </w:p>
    <w:p w:rsidR="008D46C3" w:rsidRPr="00CB1ADB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12. Свидетельство о приемке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B1ADB">
        <w:rPr>
          <w:rFonts w:ascii="Times New Roman" w:eastAsia="Times New Roman" w:hAnsi="Times New Roman" w:cs="Times New Roman"/>
          <w:lang w:eastAsia="ru-RU"/>
        </w:rPr>
        <w:t xml:space="preserve">Штангенциркуль соответствует требованиям технической документации фирмы-изготовителя и признан годным к эксплуатации.  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Дата выпуска: _____________________________________</w:t>
      </w: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Подписи лиц, ответственных за приемку: ______________</w:t>
      </w:r>
    </w:p>
    <w:p w:rsidR="008D46C3" w:rsidRPr="009A2D8E" w:rsidRDefault="008D46C3" w:rsidP="008D46C3">
      <w:pPr>
        <w:spacing w:after="0" w:line="240" w:lineRule="auto"/>
        <w:ind w:left="4320" w:firstLine="720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№ изделия: _______________________________________</w:t>
      </w: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9A2D8E" w:rsidRDefault="008D46C3" w:rsidP="008D46C3">
      <w:pPr>
        <w:spacing w:after="0" w:line="240" w:lineRule="auto"/>
        <w:ind w:right="643"/>
        <w:jc w:val="right"/>
        <w:rPr>
          <w:rFonts w:ascii="Times New Roman" w:eastAsia="Times New Roman" w:hAnsi="Times New Roman" w:cs="Times New Roman"/>
          <w:b/>
          <w:caps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М.П.</w:t>
      </w: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9A2D8E" w:rsidRDefault="008D46C3" w:rsidP="008D46C3">
      <w:pPr>
        <w:spacing w:after="0" w:line="240" w:lineRule="auto"/>
        <w:ind w:left="792"/>
        <w:jc w:val="right"/>
        <w:rPr>
          <w:rFonts w:ascii="Times New Roman" w:eastAsia="Times New Roman" w:hAnsi="Times New Roman" w:cs="Times New Roman"/>
          <w:b/>
          <w:caps/>
          <w:lang w:eastAsia="ru-RU"/>
        </w:rPr>
      </w:pPr>
      <w:r w:rsidRPr="009A2D8E">
        <w:rPr>
          <w:rFonts w:ascii="Times New Roman" w:eastAsia="Times New Roman" w:hAnsi="Times New Roman" w:cs="Times New Roman"/>
          <w:b/>
          <w:caps/>
          <w:lang w:eastAsia="ru-RU"/>
        </w:rPr>
        <w:t>ООО «Кибер-инструмент»</w:t>
      </w:r>
    </w:p>
    <w:p w:rsidR="008D46C3" w:rsidRPr="009A2D8E" w:rsidRDefault="008D46C3" w:rsidP="008D46C3">
      <w:pPr>
        <w:spacing w:after="0" w:line="240" w:lineRule="auto"/>
        <w:ind w:left="792"/>
        <w:jc w:val="right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 xml:space="preserve">129226, Москва, платформа Северянин, владение 14 </w:t>
      </w:r>
    </w:p>
    <w:p w:rsidR="008D46C3" w:rsidRPr="009A2D8E" w:rsidRDefault="008D46C3" w:rsidP="008D46C3">
      <w:pPr>
        <w:spacing w:after="0" w:line="240" w:lineRule="auto"/>
        <w:ind w:left="792"/>
        <w:jc w:val="right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тел.: (499) 707-74-63</w:t>
      </w:r>
    </w:p>
    <w:p w:rsidR="008D46C3" w:rsidRPr="009A2D8E" w:rsidRDefault="008D46C3" w:rsidP="008D46C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aps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 xml:space="preserve">                </w:t>
      </w:r>
      <w:hyperlink r:id="rId7" w:history="1"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www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eastAsia="ru-RU"/>
          </w:rPr>
          <w:t>.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prof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eastAsia="ru-RU"/>
          </w:rPr>
          <w:t>.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ru</w:t>
        </w:r>
      </w:hyperlink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-180975</wp:posOffset>
            </wp:positionV>
            <wp:extent cx="508000" cy="508000"/>
            <wp:effectExtent l="0" t="0" r="6350" b="63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1375410</wp:posOffset>
            </wp:positionH>
            <wp:positionV relativeFrom="paragraph">
              <wp:posOffset>-144780</wp:posOffset>
            </wp:positionV>
            <wp:extent cx="1371600" cy="61722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ШТАНГЕНЦИРКУЛИ С ОТСЧЕТОМ</w:t>
      </w: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ПО НОНИУСУ</w:t>
      </w:r>
    </w:p>
    <w:p w:rsidR="008D46C3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ТОРГОВОЙ МАРКИ «</w:t>
      </w:r>
      <w:r>
        <w:rPr>
          <w:rFonts w:cstheme="minorHAnsi"/>
          <w:b/>
          <w:spacing w:val="20"/>
          <w:sz w:val="28"/>
          <w:szCs w:val="28"/>
          <w:lang w:val="en-US"/>
        </w:rPr>
        <w:t>GRIFF</w:t>
      </w:r>
      <w:r>
        <w:rPr>
          <w:rFonts w:cstheme="minorHAnsi"/>
          <w:b/>
          <w:spacing w:val="20"/>
          <w:sz w:val="28"/>
          <w:szCs w:val="28"/>
        </w:rPr>
        <w:t>»</w:t>
      </w:r>
    </w:p>
    <w:p w:rsidR="00045F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 xml:space="preserve">ДВУСТОРОННИЕ </w:t>
      </w:r>
    </w:p>
    <w:p w:rsidR="008D46C3" w:rsidRPr="00F35741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БЕЗ ГЛУБИНОМЕРА</w:t>
      </w:r>
    </w:p>
    <w:p w:rsidR="008D46C3" w:rsidRPr="000C42F9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BD0547">
        <w:rPr>
          <w:rFonts w:cstheme="minorHAnsi"/>
          <w:b/>
          <w:spacing w:val="20"/>
          <w:sz w:val="28"/>
          <w:szCs w:val="28"/>
        </w:rPr>
        <w:t xml:space="preserve">ГОСТ </w:t>
      </w:r>
      <w:r>
        <w:rPr>
          <w:rFonts w:cstheme="minorHAnsi"/>
          <w:b/>
          <w:spacing w:val="20"/>
          <w:sz w:val="28"/>
          <w:szCs w:val="28"/>
        </w:rPr>
        <w:t>166</w:t>
      </w:r>
      <w:r w:rsidRPr="00BD0547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</w:rPr>
        <w:t>89</w:t>
      </w: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36"/>
          <w:szCs w:val="36"/>
        </w:rPr>
      </w:pPr>
      <w:r w:rsidRPr="00BD0547">
        <w:rPr>
          <w:rFonts w:cstheme="minorHAnsi"/>
          <w:b/>
          <w:spacing w:val="20"/>
          <w:sz w:val="36"/>
          <w:szCs w:val="36"/>
        </w:rPr>
        <w:t>ПАСПОРТ</w:t>
      </w:r>
    </w:p>
    <w:p w:rsidR="008D46C3" w:rsidRPr="00045F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0"/>
          <w:szCs w:val="20"/>
        </w:rPr>
      </w:pPr>
      <w:bookmarkStart w:id="0" w:name="_GoBack"/>
      <w:bookmarkEnd w:id="0"/>
    </w:p>
    <w:p w:rsidR="008D46C3" w:rsidRPr="008038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803824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</w:t>
      </w:r>
      <w:r>
        <w:rPr>
          <w:rFonts w:cstheme="minorHAnsi"/>
          <w:b/>
          <w:spacing w:val="20"/>
          <w:sz w:val="28"/>
          <w:szCs w:val="28"/>
          <w:lang w:val="en-US"/>
        </w:rPr>
        <w:t>I</w:t>
      </w:r>
      <w:r w:rsidRPr="00803824">
        <w:rPr>
          <w:rFonts w:cstheme="minorHAnsi"/>
          <w:b/>
          <w:spacing w:val="20"/>
          <w:sz w:val="28"/>
          <w:szCs w:val="28"/>
        </w:rPr>
        <w:t>-25</w:t>
      </w:r>
      <w:r w:rsidR="00803824" w:rsidRPr="00803824">
        <w:rPr>
          <w:rFonts w:cstheme="minorHAnsi"/>
          <w:b/>
          <w:spacing w:val="20"/>
          <w:sz w:val="28"/>
          <w:szCs w:val="28"/>
        </w:rPr>
        <w:t>0</w:t>
      </w:r>
      <w:r w:rsidRPr="00803824">
        <w:rPr>
          <w:rFonts w:cstheme="minorHAnsi"/>
          <w:b/>
          <w:spacing w:val="20"/>
          <w:sz w:val="28"/>
          <w:szCs w:val="28"/>
        </w:rPr>
        <w:t xml:space="preserve">  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-300</w:t>
      </w:r>
      <w:r w:rsidRPr="00803824">
        <w:rPr>
          <w:rFonts w:cstheme="minorHAnsi"/>
          <w:b/>
          <w:spacing w:val="20"/>
          <w:sz w:val="28"/>
          <w:szCs w:val="28"/>
        </w:rPr>
        <w:t xml:space="preserve">  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-400</w:t>
      </w:r>
    </w:p>
    <w:p w:rsidR="00803824" w:rsidRPr="008038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553C56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-500</w:t>
      </w:r>
      <w:r w:rsidRPr="00553C56">
        <w:rPr>
          <w:rFonts w:cstheme="minorHAnsi"/>
          <w:b/>
          <w:spacing w:val="20"/>
          <w:sz w:val="28"/>
          <w:szCs w:val="28"/>
        </w:rPr>
        <w:t xml:space="preserve"> </w:t>
      </w:r>
      <w:r>
        <w:rPr>
          <w:rFonts w:cstheme="minorHAnsi"/>
          <w:b/>
          <w:spacing w:val="20"/>
          <w:sz w:val="28"/>
          <w:szCs w:val="28"/>
        </w:rPr>
        <w:t xml:space="preserve"> </w:t>
      </w:r>
      <w:r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 xml:space="preserve">-630  </w:t>
      </w:r>
      <w:r w:rsidR="00803824"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 xml:space="preserve">-800 </w:t>
      </w:r>
    </w:p>
    <w:p w:rsidR="00803824" w:rsidRPr="006A210F" w:rsidRDefault="00803824" w:rsidP="00803824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6A210F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 xml:space="preserve">-1000  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 xml:space="preserve">-1600 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>-2000</w:t>
      </w:r>
    </w:p>
    <w:p w:rsidR="008D46C3" w:rsidRPr="006A210F" w:rsidRDefault="008D46C3" w:rsidP="008D46C3">
      <w:pPr>
        <w:spacing w:after="0" w:line="240" w:lineRule="auto"/>
        <w:jc w:val="center"/>
        <w:rPr>
          <w:rFonts w:cstheme="minorHAnsi"/>
          <w:b/>
          <w:spacing w:val="20"/>
          <w:sz w:val="28"/>
          <w:szCs w:val="28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  <w:r>
        <w:rPr>
          <w:rFonts w:cstheme="minorHAnsi"/>
          <w:b/>
          <w:spacing w:val="20"/>
          <w:sz w:val="28"/>
          <w:szCs w:val="28"/>
        </w:rPr>
        <w:t xml:space="preserve">Цена деления </w:t>
      </w:r>
      <w:r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0,05</w:t>
      </w:r>
      <w:r w:rsidRPr="00BD0547">
        <w:rPr>
          <w:rFonts w:cstheme="minorHAnsi"/>
          <w:b/>
          <w:spacing w:val="20"/>
          <w:sz w:val="28"/>
          <w:szCs w:val="28"/>
        </w:rPr>
        <w:t xml:space="preserve">  □ </w:t>
      </w:r>
      <w:r>
        <w:rPr>
          <w:rFonts w:cstheme="minorHAnsi"/>
          <w:b/>
          <w:spacing w:val="20"/>
          <w:sz w:val="28"/>
          <w:szCs w:val="28"/>
        </w:rPr>
        <w:t>0,1</w:t>
      </w:r>
    </w:p>
    <w:p w:rsidR="008D46C3" w:rsidRPr="00CB1ADB" w:rsidRDefault="00B9008D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val="en-US" w:eastAsia="ru-RU"/>
        </w:rPr>
      </w:pPr>
      <w:r>
        <w:object w:dxaOrig="3917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4.55pt;height:145.45pt" o:ole="">
            <v:imagedata r:id="rId10" o:title=""/>
          </v:shape>
          <o:OLEObject Type="Embed" ProgID="PBrush" ShapeID="_x0000_i1025" DrawAspect="Content" ObjectID="_1556438193" r:id="rId11"/>
        </w:object>
      </w: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1. Назначение изделия</w:t>
      </w:r>
    </w:p>
    <w:p w:rsidR="008D46C3" w:rsidRPr="008D46C3" w:rsidRDefault="008D46C3" w:rsidP="008D46C3">
      <w:pPr>
        <w:shd w:val="clear" w:color="auto" w:fill="FFFFFF"/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Штангенциркули с отсчетом по нониусу торговой марки «</w:t>
      </w:r>
      <w:r w:rsidRPr="008D46C3">
        <w:rPr>
          <w:rFonts w:ascii="Times New Roman" w:eastAsia="Times New Roman" w:hAnsi="Times New Roman" w:cs="Times New Roman"/>
          <w:color w:val="000000"/>
          <w:lang w:val="en-US" w:eastAsia="ru-RU"/>
        </w:rPr>
        <w:t>GRIFF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» двусторонние без глубиномера (далее по тексту - штангенциркули) предназначены для измерений наружных и внутренних линейных размеров. Применяется в машиностроении, приборостроении и других отраслях промышленности.</w:t>
      </w:r>
    </w:p>
    <w:p w:rsidR="008D46C3" w:rsidRPr="008D46C3" w:rsidRDefault="008D46C3" w:rsidP="008D46C3">
      <w:pPr>
        <w:shd w:val="clear" w:color="auto" w:fill="FFFFFF"/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2. Условия эксплуатации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Температура воздуха: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  <w:t xml:space="preserve">                           от 10 до 40</w:t>
      </w:r>
      <w:proofErr w:type="gramStart"/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°С</w:t>
      </w:r>
      <w:proofErr w:type="gramEnd"/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lastRenderedPageBreak/>
        <w:t>Относительная влажность воздуха:                           не более 80%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3. ТехническИЕ характеристикИ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1 Основные метрологические и технические характеристики штангенциркулей</w:t>
      </w:r>
    </w:p>
    <w:tbl>
      <w:tblPr>
        <w:tblW w:w="648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0"/>
        <w:gridCol w:w="3240"/>
      </w:tblGrid>
      <w:tr w:rsidR="008D46C3" w:rsidRPr="008D46C3" w:rsidTr="00A45388">
        <w:trPr>
          <w:jc w:val="center"/>
        </w:trPr>
        <w:tc>
          <w:tcPr>
            <w:tcW w:w="3240" w:type="dxa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Диапазон измерений наружных размеров,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3240" w:type="dxa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Значение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32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250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9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300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9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400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500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630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800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1000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1600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2000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</w:tbl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2. Пределы допускаемой абсолютной погрешности штангенциркулей при измерении наружных размеров</w:t>
      </w:r>
    </w:p>
    <w:tbl>
      <w:tblPr>
        <w:tblW w:w="6777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56"/>
        <w:gridCol w:w="2439"/>
        <w:gridCol w:w="2582"/>
      </w:tblGrid>
      <w:tr w:rsidR="008D46C3" w:rsidRPr="008D46C3" w:rsidTr="00A45388">
        <w:trPr>
          <w:trHeight w:val="630"/>
          <w:jc w:val="center"/>
        </w:trPr>
        <w:tc>
          <w:tcPr>
            <w:tcW w:w="1756" w:type="dxa"/>
            <w:vMerge w:val="restart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Измеряемая величина,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5021" w:type="dxa"/>
            <w:gridSpan w:val="2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Пределы допускаемой абсолютной погрешности при измерении наружных размеров,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83"/>
          <w:jc w:val="center"/>
        </w:trPr>
        <w:tc>
          <w:tcPr>
            <w:tcW w:w="1756" w:type="dxa"/>
            <w:vMerge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21" w:type="dxa"/>
            <w:gridSpan w:val="2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76"/>
          <w:jc w:val="center"/>
        </w:trPr>
        <w:tc>
          <w:tcPr>
            <w:tcW w:w="1756" w:type="dxa"/>
            <w:vMerge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</w:tr>
      <w:tr w:rsidR="008D46C3" w:rsidRPr="008D46C3" w:rsidTr="00A45388">
        <w:trPr>
          <w:trHeight w:val="151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84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8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0,06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0,07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0,15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0,16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0,20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0,25</w:t>
            </w:r>
          </w:p>
        </w:tc>
      </w:tr>
    </w:tbl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tLeast"/>
        <w:ind w:right="328"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3. Отклонение размера, сдвинутых до соприкосновения губок с цилиндрическими измерительными поверхностями, и их отклонение от параллельности</w:t>
      </w:r>
    </w:p>
    <w:tbl>
      <w:tblPr>
        <w:tblW w:w="6900" w:type="dxa"/>
        <w:jc w:val="center"/>
        <w:tblInd w:w="-9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04"/>
        <w:gridCol w:w="1941"/>
        <w:gridCol w:w="1601"/>
        <w:gridCol w:w="1654"/>
      </w:tblGrid>
      <w:tr w:rsidR="008D46C3" w:rsidRPr="008D46C3" w:rsidTr="00A45388">
        <w:trPr>
          <w:trHeight w:val="207"/>
          <w:jc w:val="center"/>
        </w:trPr>
        <w:tc>
          <w:tcPr>
            <w:tcW w:w="364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Отклонение размера, сдвинутых до соприкосновения губок,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25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Отклонение от параллельности,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161"/>
          <w:jc w:val="center"/>
        </w:trPr>
        <w:tc>
          <w:tcPr>
            <w:tcW w:w="364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325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59"/>
          <w:jc w:val="center"/>
        </w:trPr>
        <w:tc>
          <w:tcPr>
            <w:tcW w:w="170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194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1601" w:type="dxa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1654" w:type="dxa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</w:tr>
      <w:tr w:rsidR="008D46C3" w:rsidRPr="008D46C3" w:rsidTr="00A45388">
        <w:trPr>
          <w:trHeight w:val="138"/>
          <w:jc w:val="center"/>
        </w:trPr>
        <w:tc>
          <w:tcPr>
            <w:tcW w:w="170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94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60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65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</w:tr>
    </w:tbl>
    <w:p w:rsidR="008D46C3" w:rsidRPr="008D46C3" w:rsidRDefault="008D46C3" w:rsidP="008D46C3">
      <w:pPr>
        <w:spacing w:after="0" w:line="240" w:lineRule="atLeast"/>
        <w:ind w:firstLine="567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tLeast"/>
        <w:ind w:firstLine="567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 xml:space="preserve">Шероховатость плоских измерительных поверхностей штангенциркулей для наружных измерений, </w:t>
      </w:r>
      <w:proofErr w:type="gramStart"/>
      <w:r w:rsidRPr="008D46C3">
        <w:rPr>
          <w:rFonts w:ascii="Times New Roman" w:eastAsia="Times New Roman" w:hAnsi="Times New Roman" w:cs="Times New Roman"/>
          <w:lang w:eastAsia="ru-RU"/>
        </w:rPr>
        <w:t>мкм</w:t>
      </w:r>
      <w:proofErr w:type="gramEnd"/>
      <w:r w:rsidRPr="008D46C3">
        <w:rPr>
          <w:rFonts w:ascii="Times New Roman" w:eastAsia="Times New Roman" w:hAnsi="Times New Roman" w:cs="Times New Roman"/>
          <w:lang w:eastAsia="ru-RU"/>
        </w:rPr>
        <w:tab/>
        <w:t xml:space="preserve">    </w:t>
      </w:r>
      <w:r w:rsidRPr="008D46C3">
        <w:rPr>
          <w:rFonts w:ascii="Times New Roman" w:eastAsia="Times New Roman" w:hAnsi="Times New Roman" w:cs="Times New Roman"/>
          <w:i/>
          <w:lang w:val="en-US" w:eastAsia="ru-RU"/>
        </w:rPr>
        <w:t>Ra</w:t>
      </w:r>
      <w:r w:rsidRPr="008D46C3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8D46C3">
        <w:rPr>
          <w:rFonts w:ascii="Times New Roman" w:eastAsia="Times New Roman" w:hAnsi="Times New Roman" w:cs="Times New Roman"/>
          <w:lang w:eastAsia="ru-RU"/>
        </w:rPr>
        <w:t>≤ 0,2;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4. Комплектность поставки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4.1. Штангенциркуль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4.2. Футляр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4.3. Паспорт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5. Указание мер безопасности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Во избежание травматизма необходимо не допускать измерений на ходу станка.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6. Подготовка к работе и правила эксплуатации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6.1. Ознакомиться перед началом работы с паспортом на штангенциркуль.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6.2. Промыть бензином и протереть измерительные поверхности чистой тканью.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6.3. Выдержать штангенциркуль на рабочем месте не менее 3 ч.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6.4. Ослабить зажимной винт и проверить плавность хода рамки.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6.5. Убедиться в совпадении нулевых рисок штанги и нониуса.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6.6. Не допускать:</w:t>
      </w:r>
    </w:p>
    <w:p w:rsidR="008D46C3" w:rsidRPr="008D46C3" w:rsidRDefault="008D46C3" w:rsidP="008D46C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грубых ударов или падений во избежание изгиба штанги;</w:t>
      </w:r>
    </w:p>
    <w:p w:rsidR="008D46C3" w:rsidRPr="008D46C3" w:rsidRDefault="008D46C3" w:rsidP="008D46C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царапин на измерительных поверхностях.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6.7. После окончания работы штангенциркуль протереть чистой салфеткой  и уложить в футляр.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7. Порядок работы</w:t>
      </w:r>
    </w:p>
    <w:p w:rsidR="008D46C3" w:rsidRPr="008D46C3" w:rsidRDefault="008D46C3" w:rsidP="008D46C3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7.1. При измерении наружных поверхностей необходимо, чтобы не было перекосов, губки были перпендикулярны измеряемой поверхности. Губки для наружных измерений опустить насколько это возможно.</w:t>
      </w:r>
    </w:p>
    <w:p w:rsidR="008D46C3" w:rsidRPr="008D46C3" w:rsidRDefault="008D46C3" w:rsidP="008D46C3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7.2. При измерении внутренних поверхностей, губки для внутренних измерений опустить насколько это возможно. Не допускать перекосов, губки должны быть перпендикулярны измеряемой поверхности. При измерении диаметров отверстий снимается максимальное значение.</w:t>
      </w:r>
    </w:p>
    <w:p w:rsidR="008D46C3" w:rsidRPr="00CB1ADB" w:rsidRDefault="008D46C3" w:rsidP="00B9008D">
      <w:pPr>
        <w:spacing w:after="0" w:line="240" w:lineRule="auto"/>
        <w:ind w:right="76"/>
        <w:jc w:val="both"/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7.3. При измерении глубины глубиномер необходимо устанавливать перпендикулярно дну детали.</w:t>
      </w:r>
    </w:p>
    <w:sectPr w:rsidR="008D46C3" w:rsidRPr="00CB1ADB" w:rsidSect="009B3A35">
      <w:pgSz w:w="8505" w:h="11907" w:code="9"/>
      <w:pgMar w:top="720" w:right="297" w:bottom="278" w:left="90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53860"/>
    <w:multiLevelType w:val="hybridMultilevel"/>
    <w:tmpl w:val="E90276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677F48F5"/>
    <w:multiLevelType w:val="singleLevel"/>
    <w:tmpl w:val="43BE63DC"/>
    <w:lvl w:ilvl="0">
      <w:start w:val="5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D22"/>
    <w:rsid w:val="00010687"/>
    <w:rsid w:val="00045F24"/>
    <w:rsid w:val="000C42F9"/>
    <w:rsid w:val="000F3D9C"/>
    <w:rsid w:val="001102A8"/>
    <w:rsid w:val="001233C6"/>
    <w:rsid w:val="00145FD0"/>
    <w:rsid w:val="001553C0"/>
    <w:rsid w:val="00187320"/>
    <w:rsid w:val="001B60F4"/>
    <w:rsid w:val="00262211"/>
    <w:rsid w:val="002B1E67"/>
    <w:rsid w:val="00312FCC"/>
    <w:rsid w:val="00335A30"/>
    <w:rsid w:val="003A2872"/>
    <w:rsid w:val="003F70AC"/>
    <w:rsid w:val="0045667E"/>
    <w:rsid w:val="0047457A"/>
    <w:rsid w:val="00540BEF"/>
    <w:rsid w:val="00553C56"/>
    <w:rsid w:val="005F05B8"/>
    <w:rsid w:val="00612DE2"/>
    <w:rsid w:val="006A210F"/>
    <w:rsid w:val="006D6DD1"/>
    <w:rsid w:val="007D350C"/>
    <w:rsid w:val="00803824"/>
    <w:rsid w:val="008D46C3"/>
    <w:rsid w:val="008F7E11"/>
    <w:rsid w:val="009A2D8E"/>
    <w:rsid w:val="009B76E5"/>
    <w:rsid w:val="00A12D22"/>
    <w:rsid w:val="00A93A8C"/>
    <w:rsid w:val="00AD54D3"/>
    <w:rsid w:val="00B50008"/>
    <w:rsid w:val="00B82490"/>
    <w:rsid w:val="00B9008D"/>
    <w:rsid w:val="00BD0547"/>
    <w:rsid w:val="00CB1ADB"/>
    <w:rsid w:val="00CD297F"/>
    <w:rsid w:val="00D576A3"/>
    <w:rsid w:val="00D8220C"/>
    <w:rsid w:val="00DC7D24"/>
    <w:rsid w:val="00E355F5"/>
    <w:rsid w:val="00E42ACD"/>
    <w:rsid w:val="00E45982"/>
    <w:rsid w:val="00EC3E69"/>
    <w:rsid w:val="00EC5731"/>
    <w:rsid w:val="00ED76E7"/>
    <w:rsid w:val="00F332B9"/>
    <w:rsid w:val="00F35741"/>
    <w:rsid w:val="00F80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7D350C"/>
    <w:pPr>
      <w:keepNext/>
      <w:shd w:val="clear" w:color="auto" w:fill="FFFFFF"/>
      <w:spacing w:after="0" w:line="240" w:lineRule="auto"/>
      <w:jc w:val="center"/>
      <w:outlineLvl w:val="2"/>
    </w:pPr>
    <w:rPr>
      <w:rFonts w:ascii="Arial" w:eastAsia="Times New Roman" w:hAnsi="Arial" w:cs="Times New Roman"/>
      <w:b/>
      <w:color w:val="000000"/>
      <w:spacing w:val="34"/>
      <w:w w:val="76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D350C"/>
    <w:rPr>
      <w:rFonts w:ascii="Arial" w:eastAsia="Times New Roman" w:hAnsi="Arial" w:cs="Times New Roman"/>
      <w:b/>
      <w:color w:val="000000"/>
      <w:spacing w:val="34"/>
      <w:w w:val="76"/>
      <w:sz w:val="28"/>
      <w:szCs w:val="20"/>
      <w:shd w:val="clear" w:color="auto" w:fill="FFFFFF"/>
      <w:lang w:eastAsia="ru-RU"/>
    </w:rPr>
  </w:style>
  <w:style w:type="paragraph" w:styleId="2">
    <w:name w:val="Body Text 2"/>
    <w:basedOn w:val="a"/>
    <w:link w:val="20"/>
    <w:uiPriority w:val="99"/>
    <w:rsid w:val="007D350C"/>
    <w:pPr>
      <w:shd w:val="clear" w:color="auto" w:fill="FFFFFF"/>
      <w:spacing w:after="0" w:line="240" w:lineRule="auto"/>
    </w:pPr>
    <w:rPr>
      <w:rFonts w:ascii="Arial" w:eastAsia="Times New Roman" w:hAnsi="Arial" w:cs="Times New Roman"/>
      <w:color w:val="000000"/>
      <w:sz w:val="26"/>
      <w:szCs w:val="20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7D350C"/>
    <w:rPr>
      <w:rFonts w:ascii="Arial" w:eastAsia="Times New Roman" w:hAnsi="Arial" w:cs="Times New Roman"/>
      <w:color w:val="000000"/>
      <w:sz w:val="26"/>
      <w:szCs w:val="20"/>
      <w:shd w:val="clear" w:color="auto" w:fill="FFFFFF"/>
      <w:lang w:eastAsia="ru-RU"/>
    </w:rPr>
  </w:style>
  <w:style w:type="character" w:styleId="a3">
    <w:name w:val="Hyperlink"/>
    <w:basedOn w:val="a0"/>
    <w:uiPriority w:val="99"/>
    <w:rsid w:val="007D350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D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5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7D350C"/>
    <w:pPr>
      <w:keepNext/>
      <w:shd w:val="clear" w:color="auto" w:fill="FFFFFF"/>
      <w:spacing w:after="0" w:line="240" w:lineRule="auto"/>
      <w:jc w:val="center"/>
      <w:outlineLvl w:val="2"/>
    </w:pPr>
    <w:rPr>
      <w:rFonts w:ascii="Arial" w:eastAsia="Times New Roman" w:hAnsi="Arial" w:cs="Times New Roman"/>
      <w:b/>
      <w:color w:val="000000"/>
      <w:spacing w:val="34"/>
      <w:w w:val="76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D350C"/>
    <w:rPr>
      <w:rFonts w:ascii="Arial" w:eastAsia="Times New Roman" w:hAnsi="Arial" w:cs="Times New Roman"/>
      <w:b/>
      <w:color w:val="000000"/>
      <w:spacing w:val="34"/>
      <w:w w:val="76"/>
      <w:sz w:val="28"/>
      <w:szCs w:val="20"/>
      <w:shd w:val="clear" w:color="auto" w:fill="FFFFFF"/>
      <w:lang w:eastAsia="ru-RU"/>
    </w:rPr>
  </w:style>
  <w:style w:type="paragraph" w:styleId="2">
    <w:name w:val="Body Text 2"/>
    <w:basedOn w:val="a"/>
    <w:link w:val="20"/>
    <w:uiPriority w:val="99"/>
    <w:rsid w:val="007D350C"/>
    <w:pPr>
      <w:shd w:val="clear" w:color="auto" w:fill="FFFFFF"/>
      <w:spacing w:after="0" w:line="240" w:lineRule="auto"/>
    </w:pPr>
    <w:rPr>
      <w:rFonts w:ascii="Arial" w:eastAsia="Times New Roman" w:hAnsi="Arial" w:cs="Times New Roman"/>
      <w:color w:val="000000"/>
      <w:sz w:val="26"/>
      <w:szCs w:val="20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7D350C"/>
    <w:rPr>
      <w:rFonts w:ascii="Arial" w:eastAsia="Times New Roman" w:hAnsi="Arial" w:cs="Times New Roman"/>
      <w:color w:val="000000"/>
      <w:sz w:val="26"/>
      <w:szCs w:val="20"/>
      <w:shd w:val="clear" w:color="auto" w:fill="FFFFFF"/>
      <w:lang w:eastAsia="ru-RU"/>
    </w:rPr>
  </w:style>
  <w:style w:type="character" w:styleId="a3">
    <w:name w:val="Hyperlink"/>
    <w:basedOn w:val="a0"/>
    <w:uiPriority w:val="99"/>
    <w:rsid w:val="007D350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D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5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85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://www.prof.ru" TargetMode="Externa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FC0DF8-3C66-401F-945D-7D8C23BA9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4</Pages>
  <Words>739</Words>
  <Characters>4213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Катанов Вячеслав</dc:creator>
  <cp:keywords/>
  <dc:description/>
  <cp:lastModifiedBy>Катанов Вячеслав</cp:lastModifiedBy>
  <cp:revision>45</cp:revision>
  <cp:lastPrinted>2017-03-21T12:07:00Z</cp:lastPrinted>
  <dcterms:created xsi:type="dcterms:W3CDTF">2017-03-07T13:43:00Z</dcterms:created>
  <dcterms:modified xsi:type="dcterms:W3CDTF">2017-05-16T08:10:00Z</dcterms:modified>
</cp:coreProperties>
</file>